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F87" w:rsidRPr="00CB4F87" w:rsidRDefault="00CB4F87" w:rsidP="00CB4F87">
      <w:pPr>
        <w:jc w:val="center"/>
        <w:rPr>
          <w:rFonts w:cs="Aharoni"/>
          <w:b/>
          <w:bCs/>
          <w:color w:val="FF0000"/>
          <w:sz w:val="96"/>
          <w:szCs w:val="48"/>
          <w:lang w:val="en-US"/>
        </w:rPr>
      </w:pPr>
      <w:r w:rsidRPr="00CB4F87">
        <w:rPr>
          <w:rFonts w:cs="Aharoni"/>
          <w:b/>
          <w:bCs/>
          <w:color w:val="FF0000"/>
          <w:sz w:val="96"/>
          <w:szCs w:val="48"/>
          <w:lang w:val="en-US"/>
        </w:rPr>
        <w:t>RAYALA SEEMA</w:t>
      </w:r>
    </w:p>
    <w:p w:rsidR="00CB4F87" w:rsidRPr="00CB4F87" w:rsidRDefault="00CB4F87" w:rsidP="00CB4F87">
      <w:pPr>
        <w:jc w:val="center"/>
        <w:rPr>
          <w:rFonts w:cs="Aharoni"/>
          <w:b/>
          <w:bCs/>
          <w:color w:val="FF0000"/>
          <w:sz w:val="96"/>
          <w:szCs w:val="48"/>
          <w:lang w:val="en-US"/>
        </w:rPr>
      </w:pPr>
      <w:r w:rsidRPr="00CB4F87">
        <w:rPr>
          <w:rFonts w:cs="Aharoni"/>
          <w:b/>
          <w:bCs/>
          <w:color w:val="FF0000"/>
          <w:sz w:val="96"/>
          <w:szCs w:val="48"/>
          <w:lang w:val="en-US"/>
        </w:rPr>
        <w:t>UNIVERSITY</w:t>
      </w:r>
    </w:p>
    <w:p w:rsidR="00CB4F87" w:rsidRPr="00CB4F87" w:rsidRDefault="00CB4F87" w:rsidP="00CB4F87">
      <w:pPr>
        <w:jc w:val="center"/>
        <w:rPr>
          <w:rFonts w:cs="Aharoni"/>
          <w:b/>
          <w:bCs/>
          <w:color w:val="FF0000"/>
          <w:sz w:val="96"/>
          <w:szCs w:val="48"/>
          <w:lang w:val="en-US"/>
        </w:rPr>
      </w:pPr>
      <w:r w:rsidRPr="00CB4F87">
        <w:rPr>
          <w:rFonts w:cs="Aharoni"/>
          <w:b/>
          <w:bCs/>
          <w:color w:val="FF0000"/>
          <w:sz w:val="96"/>
          <w:szCs w:val="48"/>
          <w:lang w:val="en-US"/>
        </w:rPr>
        <w:t>KURNOOL</w:t>
      </w:r>
    </w:p>
    <w:p w:rsidR="00CB4F87" w:rsidRPr="00CB4F87" w:rsidRDefault="00CB4F87" w:rsidP="00CB4F87">
      <w:pPr>
        <w:jc w:val="center"/>
        <w:rPr>
          <w:rFonts w:cs="Aharoni"/>
          <w:b/>
          <w:bCs/>
          <w:color w:val="FF0000"/>
          <w:sz w:val="96"/>
          <w:szCs w:val="48"/>
          <w:lang w:val="en-US"/>
        </w:rPr>
      </w:pPr>
      <w:r w:rsidRPr="00CB4F87">
        <w:rPr>
          <w:rFonts w:cs="Aharoni"/>
          <w:b/>
          <w:bCs/>
          <w:color w:val="FF0000"/>
          <w:sz w:val="96"/>
          <w:szCs w:val="48"/>
          <w:lang w:val="en-US"/>
        </w:rPr>
        <w:t>SRI SANKAR’S</w:t>
      </w:r>
    </w:p>
    <w:p w:rsidR="00CB4F87" w:rsidRPr="00CB4F87" w:rsidRDefault="00CB4F87" w:rsidP="00CB4F87">
      <w:pPr>
        <w:jc w:val="center"/>
        <w:rPr>
          <w:rFonts w:cs="Aharoni"/>
          <w:b/>
          <w:bCs/>
          <w:color w:val="FF0000"/>
          <w:sz w:val="96"/>
          <w:szCs w:val="48"/>
          <w:lang w:val="en-US"/>
        </w:rPr>
      </w:pPr>
      <w:r w:rsidRPr="00CB4F87">
        <w:rPr>
          <w:rFonts w:cs="Aharoni"/>
          <w:b/>
          <w:bCs/>
          <w:color w:val="FF0000"/>
          <w:sz w:val="96"/>
          <w:szCs w:val="48"/>
          <w:lang w:val="en-US"/>
        </w:rPr>
        <w:t>DEGREE</w:t>
      </w:r>
    </w:p>
    <w:p w:rsidR="00CB4F87" w:rsidRPr="00CB4F87" w:rsidRDefault="00CB4F87" w:rsidP="00CB4F87">
      <w:pPr>
        <w:jc w:val="center"/>
        <w:rPr>
          <w:rFonts w:cs="Aharoni"/>
          <w:b/>
          <w:bCs/>
          <w:color w:val="FF0000"/>
          <w:sz w:val="96"/>
          <w:szCs w:val="48"/>
          <w:lang w:val="en-US"/>
        </w:rPr>
      </w:pPr>
      <w:r w:rsidRPr="00CB4F87">
        <w:rPr>
          <w:rFonts w:cs="Aharoni"/>
          <w:b/>
          <w:bCs/>
          <w:color w:val="FF0000"/>
          <w:sz w:val="96"/>
          <w:szCs w:val="48"/>
          <w:lang w:val="en-US"/>
        </w:rPr>
        <w:t>COLLEGE IN</w:t>
      </w:r>
    </w:p>
    <w:p w:rsidR="00CB4F87" w:rsidRPr="00CB4F87" w:rsidRDefault="00CB4F87" w:rsidP="00CB4F87">
      <w:pPr>
        <w:jc w:val="center"/>
        <w:rPr>
          <w:rFonts w:cs="Aharoni"/>
          <w:b/>
          <w:bCs/>
          <w:color w:val="FF0000"/>
          <w:sz w:val="96"/>
          <w:szCs w:val="48"/>
          <w:lang w:val="en-US"/>
        </w:rPr>
      </w:pPr>
      <w:r w:rsidRPr="00CB4F87">
        <w:rPr>
          <w:rFonts w:cs="Aharoni"/>
          <w:b/>
          <w:bCs/>
          <w:color w:val="FF0000"/>
          <w:sz w:val="96"/>
          <w:szCs w:val="48"/>
          <w:lang w:val="en-US"/>
        </w:rPr>
        <w:t>KURNOOL</w:t>
      </w:r>
    </w:p>
    <w:p w:rsidR="00CB4F87" w:rsidRPr="00CB4F87" w:rsidRDefault="00CB4F87" w:rsidP="00CB4F87">
      <w:pPr>
        <w:jc w:val="right"/>
        <w:rPr>
          <w:b/>
          <w:bCs/>
          <w:color w:val="0070C0"/>
          <w:sz w:val="36"/>
          <w:szCs w:val="36"/>
          <w:lang w:val="en-US"/>
        </w:rPr>
      </w:pPr>
      <w:r w:rsidRPr="00CB4F87">
        <w:rPr>
          <w:b/>
          <w:bCs/>
          <w:color w:val="0070C0"/>
          <w:sz w:val="36"/>
          <w:szCs w:val="36"/>
          <w:lang w:val="en-US"/>
        </w:rPr>
        <w:t>DASARI DHARANI</w:t>
      </w:r>
    </w:p>
    <w:p w:rsidR="00CB4F87" w:rsidRPr="00CB4F87" w:rsidRDefault="00CB4F87" w:rsidP="00CB4F87">
      <w:pPr>
        <w:jc w:val="right"/>
        <w:rPr>
          <w:b/>
          <w:bCs/>
          <w:color w:val="0070C0"/>
          <w:sz w:val="36"/>
          <w:szCs w:val="36"/>
          <w:lang w:val="en-US"/>
        </w:rPr>
      </w:pPr>
      <w:r w:rsidRPr="00CB4F87">
        <w:rPr>
          <w:b/>
          <w:bCs/>
          <w:color w:val="0070C0"/>
          <w:sz w:val="36"/>
          <w:szCs w:val="36"/>
          <w:lang w:val="en-US"/>
        </w:rPr>
        <w:t>B.SC(MPC.S)</w:t>
      </w:r>
    </w:p>
    <w:p w:rsidR="00CB4F87" w:rsidRDefault="00CB4F87" w:rsidP="00CB4F87">
      <w:pPr>
        <w:jc w:val="right"/>
        <w:rPr>
          <w:b/>
          <w:bCs/>
          <w:color w:val="0070C0"/>
          <w:sz w:val="36"/>
          <w:szCs w:val="36"/>
          <w:lang w:val="en-US"/>
        </w:rPr>
      </w:pPr>
      <w:r w:rsidRPr="00CB4F87">
        <w:rPr>
          <w:b/>
          <w:bCs/>
          <w:color w:val="0070C0"/>
          <w:sz w:val="36"/>
          <w:szCs w:val="36"/>
          <w:lang w:val="en-US"/>
        </w:rPr>
        <w:t>HALL NO:21360008006</w:t>
      </w:r>
    </w:p>
    <w:p w:rsidR="00CB4F87" w:rsidRDefault="00CB4F87">
      <w:pPr>
        <w:rPr>
          <w:b/>
          <w:bCs/>
          <w:color w:val="0070C0"/>
          <w:sz w:val="72"/>
          <w:szCs w:val="72"/>
          <w:lang w:val="en-US"/>
        </w:rPr>
      </w:pPr>
    </w:p>
    <w:p w:rsidR="00CB4F87" w:rsidRDefault="00CB4F87">
      <w:pPr>
        <w:spacing w:after="0" w:line="240" w:lineRule="auto"/>
        <w:rPr>
          <w:b/>
          <w:bCs/>
          <w:color w:val="0070C0"/>
          <w:sz w:val="72"/>
          <w:szCs w:val="72"/>
          <w:lang w:val="en-US"/>
        </w:rPr>
      </w:pPr>
      <w:r>
        <w:rPr>
          <w:b/>
          <w:bCs/>
          <w:color w:val="0070C0"/>
          <w:sz w:val="72"/>
          <w:szCs w:val="72"/>
          <w:lang w:val="en-US"/>
        </w:rPr>
        <w:br w:type="page"/>
      </w:r>
    </w:p>
    <w:p w:rsidR="00B772E1" w:rsidRPr="000B7A3E" w:rsidRDefault="001B538D">
      <w:pPr>
        <w:rPr>
          <w:rFonts w:ascii="Algerian" w:hAnsi="Algerian"/>
          <w:b/>
          <w:bCs/>
          <w:color w:val="0070C0"/>
          <w:sz w:val="72"/>
          <w:szCs w:val="72"/>
          <w:u w:val="single"/>
        </w:rPr>
      </w:pPr>
      <w:r w:rsidRPr="000B7A3E">
        <w:rPr>
          <w:rFonts w:ascii="Algerian" w:hAnsi="Algerian"/>
          <w:b/>
          <w:bCs/>
          <w:color w:val="0070C0"/>
          <w:sz w:val="72"/>
          <w:szCs w:val="72"/>
          <w:u w:val="single"/>
          <w:lang w:val="en-US"/>
        </w:rPr>
        <w:lastRenderedPageBreak/>
        <w:t>U</w:t>
      </w:r>
      <w:r w:rsidRPr="000B7A3E">
        <w:rPr>
          <w:rFonts w:ascii="Algerian" w:hAnsi="Algerian"/>
          <w:b/>
          <w:bCs/>
          <w:color w:val="0070C0"/>
          <w:sz w:val="72"/>
          <w:szCs w:val="72"/>
          <w:u w:val="single"/>
        </w:rPr>
        <w:t>nemployment rate in India during COVID-19</w:t>
      </w:r>
    </w:p>
    <w:p w:rsidR="00B772E1" w:rsidRDefault="00B772E1">
      <w:pPr>
        <w:rPr>
          <w:b/>
          <w:bCs/>
          <w:color w:val="0070C0"/>
          <w:sz w:val="72"/>
          <w:szCs w:val="72"/>
        </w:rPr>
      </w:pPr>
    </w:p>
    <w:p w:rsidR="00B772E1" w:rsidRDefault="000B7A3E" w:rsidP="000B7A3E">
      <w:pPr>
        <w:pBdr>
          <w:top w:val="single" w:sz="2" w:space="0" w:color="E3E3E3"/>
          <w:left w:val="single" w:sz="2" w:space="0" w:color="E3E3E3"/>
          <w:bottom w:val="single" w:sz="2" w:space="0" w:color="E3E3E3"/>
          <w:right w:val="single" w:sz="2" w:space="0" w:color="E3E3E3"/>
        </w:pBdr>
        <w:shd w:val="clear" w:color="auto" w:fill="FFFFFF"/>
        <w:spacing w:after="100" w:line="240" w:lineRule="auto"/>
        <w:jc w:val="both"/>
        <w:rPr>
          <w:rFonts w:ascii="Segoe UI" w:eastAsia="Times New Roman" w:hAnsi="Segoe UI" w:cs="Segoe UI"/>
          <w:color w:val="000000"/>
          <w:kern w:val="0"/>
          <w:sz w:val="27"/>
          <w:szCs w:val="27"/>
          <w:lang w:eastAsia="en-IN"/>
          <w14:ligatures w14:val="none"/>
        </w:rPr>
      </w:pPr>
      <w:r>
        <w:rPr>
          <w:rFonts w:ascii="Segoe UI" w:eastAsia="Times New Roman" w:hAnsi="Segoe UI" w:cs="Aharoni"/>
          <w:color w:val="000000"/>
          <w:kern w:val="0"/>
          <w:sz w:val="27"/>
          <w:szCs w:val="27"/>
          <w:lang w:val="en-US" w:eastAsia="en-IN"/>
          <w14:ligatures w14:val="none"/>
        </w:rPr>
        <w:t xml:space="preserve">                                      </w:t>
      </w:r>
      <w:r w:rsidR="001B538D" w:rsidRPr="000B7A3E">
        <w:rPr>
          <w:rFonts w:ascii="Segoe UI" w:eastAsia="Times New Roman" w:hAnsi="Segoe UI" w:cs="Aharoni"/>
          <w:color w:val="000000"/>
          <w:kern w:val="0"/>
          <w:sz w:val="27"/>
          <w:szCs w:val="27"/>
          <w:lang w:val="en-US" w:eastAsia="en-IN"/>
          <w14:ligatures w14:val="none"/>
        </w:rPr>
        <w:t>D</w:t>
      </w:r>
      <w:r w:rsidR="001B538D" w:rsidRPr="000B7A3E">
        <w:rPr>
          <w:rFonts w:ascii="Segoe UI" w:eastAsia="Times New Roman" w:hAnsi="Segoe UI" w:cs="Aharoni"/>
          <w:color w:val="000000"/>
          <w:kern w:val="0"/>
          <w:sz w:val="27"/>
          <w:szCs w:val="27"/>
          <w:lang w:eastAsia="en-IN"/>
          <w14:ligatures w14:val="none"/>
        </w:rPr>
        <w:t xml:space="preserve">uring the COVID-19 pandemic, India experienced significant disruptions in various sectors, leading to fluctuations in the unemployment rate. In April 2020, the unemployment rate soared to around 23.5% due to </w:t>
      </w:r>
      <w:r w:rsidR="001B538D" w:rsidRPr="000B7A3E">
        <w:rPr>
          <w:rFonts w:ascii="Segoe UI" w:eastAsia="Times New Roman" w:hAnsi="Segoe UI" w:cs="Aharoni"/>
          <w:color w:val="000000"/>
          <w:kern w:val="0"/>
          <w:sz w:val="27"/>
          <w:szCs w:val="27"/>
          <w:lang w:eastAsia="en-IN"/>
          <w14:ligatures w14:val="none"/>
        </w:rPr>
        <w:t>the nationwide lockdown imposed to curb the spread of the virus. However, as restrictions eased and economic activities resumed, the unemployment rate gradually declined. By the end of 2020, it had dropped to around 9%, although it remained higher than pre</w:t>
      </w:r>
      <w:r w:rsidR="001B538D" w:rsidRPr="000B7A3E">
        <w:rPr>
          <w:rFonts w:ascii="Segoe UI" w:eastAsia="Times New Roman" w:hAnsi="Segoe UI" w:cs="Aharoni"/>
          <w:color w:val="000000"/>
          <w:kern w:val="0"/>
          <w:sz w:val="27"/>
          <w:szCs w:val="27"/>
          <w:lang w:eastAsia="en-IN"/>
          <w14:ligatures w14:val="none"/>
        </w:rPr>
        <w:t>-pandemic levels. The exact figures can vary depending on the source and methodology used for calculation</w:t>
      </w:r>
      <w:r w:rsidR="001B538D">
        <w:rPr>
          <w:rFonts w:ascii="Segoe UI" w:eastAsia="Times New Roman" w:hAnsi="Segoe UI" w:cs="Segoe UI"/>
          <w:color w:val="000000"/>
          <w:kern w:val="0"/>
          <w:sz w:val="27"/>
          <w:szCs w:val="27"/>
          <w:lang w:eastAsia="en-IN"/>
          <w14:ligatures w14:val="none"/>
        </w:rPr>
        <w:t>.</w:t>
      </w:r>
    </w:p>
    <w:p w:rsidR="00B772E1" w:rsidRPr="000B7A3E" w:rsidRDefault="00B772E1" w:rsidP="000B7A3E">
      <w:pPr>
        <w:pBdr>
          <w:top w:val="single" w:sz="2" w:space="0" w:color="E3E3E3"/>
          <w:left w:val="single" w:sz="2" w:space="0" w:color="E3E3E3"/>
          <w:bottom w:val="single" w:sz="2" w:space="0" w:color="E3E3E3"/>
          <w:right w:val="single" w:sz="2" w:space="0" w:color="E3E3E3"/>
        </w:pBdr>
        <w:shd w:val="clear" w:color="auto" w:fill="FFFFFF"/>
        <w:spacing w:after="100" w:line="240" w:lineRule="auto"/>
        <w:jc w:val="both"/>
        <w:rPr>
          <w:rFonts w:ascii="Segoe UI" w:eastAsia="Times New Roman" w:hAnsi="Segoe UI" w:cs="Segoe UI"/>
          <w:b/>
          <w:color w:val="5B9BD5" w:themeColor="accent5"/>
          <w:kern w:val="0"/>
          <w:sz w:val="28"/>
          <w:szCs w:val="27"/>
          <w:lang w:eastAsia="en-IN"/>
          <w14:ligatures w14:val="none"/>
        </w:rPr>
      </w:pPr>
    </w:p>
    <w:p w:rsidR="000B7A3E" w:rsidRPr="000B7A3E" w:rsidRDefault="001B538D" w:rsidP="000B7A3E">
      <w:pPr>
        <w:pBdr>
          <w:top w:val="single" w:sz="2" w:space="0" w:color="E3E3E3"/>
          <w:left w:val="single" w:sz="2" w:space="0" w:color="E3E3E3"/>
          <w:bottom w:val="single" w:sz="2" w:space="0" w:color="E3E3E3"/>
          <w:right w:val="single" w:sz="2" w:space="0" w:color="E3E3E3"/>
        </w:pBdr>
        <w:shd w:val="clear" w:color="auto" w:fill="FFFFFF"/>
        <w:spacing w:after="100" w:line="240" w:lineRule="auto"/>
        <w:jc w:val="both"/>
        <w:rPr>
          <w:rFonts w:ascii="Arial" w:eastAsia="Times New Roman" w:hAnsi="Arial" w:cs="Arial"/>
          <w:kern w:val="0"/>
          <w:sz w:val="28"/>
          <w:szCs w:val="28"/>
          <w:u w:val="single"/>
          <w:lang w:eastAsia="en-IN"/>
          <w14:ligatures w14:val="none"/>
        </w:rPr>
      </w:pPr>
      <w:r w:rsidRPr="000B7A3E">
        <w:rPr>
          <w:rFonts w:ascii="Arial" w:eastAsia="Times New Roman" w:hAnsi="Arial" w:cs="Arial"/>
          <w:b/>
          <w:color w:val="5B9BD5" w:themeColor="accent5"/>
          <w:kern w:val="0"/>
          <w:sz w:val="32"/>
          <w:szCs w:val="28"/>
          <w:u w:val="single"/>
          <w:lang w:eastAsia="en-IN"/>
          <w14:ligatures w14:val="none"/>
        </w:rPr>
        <w:t>During the COVID-19 pandemic</w:t>
      </w:r>
      <w:r w:rsidR="000B7A3E" w:rsidRPr="000B7A3E">
        <w:rPr>
          <w:rFonts w:ascii="Arial" w:eastAsia="Times New Roman" w:hAnsi="Arial" w:cs="Arial"/>
          <w:kern w:val="0"/>
          <w:sz w:val="28"/>
          <w:szCs w:val="28"/>
          <w:u w:val="single"/>
          <w:lang w:eastAsia="en-IN"/>
          <w14:ligatures w14:val="none"/>
        </w:rPr>
        <w:t>:-</w:t>
      </w:r>
    </w:p>
    <w:p w:rsidR="00B772E1" w:rsidRDefault="000B7A3E" w:rsidP="000B7A3E">
      <w:pPr>
        <w:pBdr>
          <w:top w:val="single" w:sz="2" w:space="0" w:color="E3E3E3"/>
          <w:left w:val="single" w:sz="2" w:space="0" w:color="E3E3E3"/>
          <w:bottom w:val="single" w:sz="2" w:space="0" w:color="E3E3E3"/>
          <w:right w:val="single" w:sz="2" w:space="0" w:color="E3E3E3"/>
        </w:pBdr>
        <w:shd w:val="clear" w:color="auto" w:fill="FFFFFF"/>
        <w:spacing w:after="100" w:line="240" w:lineRule="auto"/>
        <w:jc w:val="both"/>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001B538D">
        <w:rPr>
          <w:rFonts w:ascii="Arial" w:eastAsia="Times New Roman" w:hAnsi="Arial" w:cs="Arial"/>
          <w:kern w:val="0"/>
          <w:sz w:val="28"/>
          <w:szCs w:val="28"/>
          <w:lang w:eastAsia="en-IN"/>
          <w14:ligatures w14:val="none"/>
        </w:rPr>
        <w:t xml:space="preserve"> </w:t>
      </w:r>
      <w:r w:rsidR="001B538D">
        <w:rPr>
          <w:rFonts w:ascii="Arial" w:eastAsia="Times New Roman" w:hAnsi="Arial" w:cs="Arial"/>
          <w:kern w:val="0"/>
          <w:sz w:val="28"/>
          <w:szCs w:val="28"/>
          <w:lang w:eastAsia="en-IN"/>
          <w14:ligatures w14:val="none"/>
        </w:rPr>
        <w:t>India saw a significant impact on its economy and employment landscape. The strict lockdown measures imposed to curb t</w:t>
      </w:r>
      <w:r w:rsidR="001B538D">
        <w:rPr>
          <w:rFonts w:ascii="Arial" w:eastAsia="Times New Roman" w:hAnsi="Arial" w:cs="Arial"/>
          <w:kern w:val="0"/>
          <w:sz w:val="28"/>
          <w:szCs w:val="28"/>
          <w:lang w:eastAsia="en-IN"/>
          <w14:ligatures w14:val="none"/>
        </w:rPr>
        <w:t>he spread of the virus led to widespread disruptions across various sectors, resulting in a surge in unemployment.</w:t>
      </w:r>
    </w:p>
    <w:p w:rsidR="00B772E1" w:rsidRDefault="00B772E1" w:rsidP="000B7A3E">
      <w:pPr>
        <w:pBdr>
          <w:top w:val="single" w:sz="2" w:space="0" w:color="E3E3E3"/>
          <w:left w:val="single" w:sz="2" w:space="0" w:color="E3E3E3"/>
          <w:bottom w:val="single" w:sz="2" w:space="0" w:color="E3E3E3"/>
          <w:right w:val="single" w:sz="2" w:space="0" w:color="E3E3E3"/>
        </w:pBdr>
        <w:shd w:val="clear" w:color="auto" w:fill="FFFFFF"/>
        <w:spacing w:after="100" w:line="240" w:lineRule="auto"/>
        <w:jc w:val="both"/>
        <w:rPr>
          <w:rFonts w:ascii="Arial" w:eastAsia="Times New Roman" w:hAnsi="Arial" w:cs="Arial"/>
          <w:kern w:val="0"/>
          <w:sz w:val="28"/>
          <w:szCs w:val="28"/>
          <w:lang w:eastAsia="en-IN"/>
          <w14:ligatures w14:val="none"/>
        </w:rPr>
      </w:pPr>
    </w:p>
    <w:p w:rsidR="00B772E1" w:rsidRDefault="000B7A3E" w:rsidP="000B7A3E">
      <w:pPr>
        <w:pBdr>
          <w:top w:val="single" w:sz="2" w:space="0" w:color="E3E3E3"/>
          <w:left w:val="single" w:sz="2" w:space="0" w:color="E3E3E3"/>
          <w:bottom w:val="single" w:sz="2" w:space="0" w:color="E3E3E3"/>
          <w:right w:val="single" w:sz="2" w:space="0" w:color="E3E3E3"/>
        </w:pBdr>
        <w:shd w:val="clear" w:color="auto" w:fill="FFFFFF"/>
        <w:spacing w:after="100" w:line="240" w:lineRule="auto"/>
        <w:jc w:val="both"/>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001B538D">
        <w:rPr>
          <w:rFonts w:ascii="Arial" w:eastAsia="Times New Roman" w:hAnsi="Arial" w:cs="Arial"/>
          <w:kern w:val="0"/>
          <w:sz w:val="28"/>
          <w:szCs w:val="28"/>
          <w:lang w:eastAsia="en-IN"/>
          <w14:ligatures w14:val="none"/>
        </w:rPr>
        <w:t xml:space="preserve">In April 2020, at the peak of the lockdown, India's unemployment rate spiked to around 23.5%, according to the Center for Monitoring Indian </w:t>
      </w:r>
      <w:r w:rsidR="001B538D">
        <w:rPr>
          <w:rFonts w:ascii="Arial" w:eastAsia="Times New Roman" w:hAnsi="Arial" w:cs="Arial"/>
          <w:kern w:val="0"/>
          <w:sz w:val="28"/>
          <w:szCs w:val="28"/>
          <w:lang w:eastAsia="en-IN"/>
          <w14:ligatures w14:val="none"/>
        </w:rPr>
        <w:t>Economy (CMIE). This marked a sharp increase from the pre-pandemic unemployment rate, which was around 7-8%.</w:t>
      </w:r>
    </w:p>
    <w:p w:rsidR="00B772E1" w:rsidRDefault="00B772E1" w:rsidP="000B7A3E">
      <w:pPr>
        <w:pBdr>
          <w:top w:val="single" w:sz="2" w:space="0" w:color="E3E3E3"/>
          <w:left w:val="single" w:sz="2" w:space="0" w:color="E3E3E3"/>
          <w:bottom w:val="single" w:sz="2" w:space="0" w:color="E3E3E3"/>
          <w:right w:val="single" w:sz="2" w:space="0" w:color="E3E3E3"/>
        </w:pBdr>
        <w:shd w:val="clear" w:color="auto" w:fill="FFFFFF"/>
        <w:spacing w:after="100" w:line="240" w:lineRule="auto"/>
        <w:jc w:val="both"/>
        <w:rPr>
          <w:rFonts w:ascii="Arial" w:eastAsia="Times New Roman" w:hAnsi="Arial" w:cs="Arial"/>
          <w:kern w:val="0"/>
          <w:sz w:val="28"/>
          <w:szCs w:val="28"/>
          <w:lang w:eastAsia="en-IN"/>
          <w14:ligatures w14:val="none"/>
        </w:rPr>
      </w:pPr>
    </w:p>
    <w:p w:rsidR="00B772E1" w:rsidRDefault="000B7A3E" w:rsidP="000B7A3E">
      <w:pPr>
        <w:pBdr>
          <w:top w:val="single" w:sz="2" w:space="0" w:color="E3E3E3"/>
          <w:left w:val="single" w:sz="2" w:space="0" w:color="E3E3E3"/>
          <w:bottom w:val="single" w:sz="2" w:space="0" w:color="E3E3E3"/>
          <w:right w:val="single" w:sz="2" w:space="0" w:color="E3E3E3"/>
        </w:pBdr>
        <w:shd w:val="clear" w:color="auto" w:fill="FFFFFF"/>
        <w:spacing w:after="100" w:line="240" w:lineRule="auto"/>
        <w:jc w:val="both"/>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001B538D">
        <w:rPr>
          <w:rFonts w:ascii="Arial" w:eastAsia="Times New Roman" w:hAnsi="Arial" w:cs="Arial"/>
          <w:kern w:val="0"/>
          <w:sz w:val="28"/>
          <w:szCs w:val="28"/>
          <w:lang w:eastAsia="en-IN"/>
          <w14:ligatures w14:val="none"/>
        </w:rPr>
        <w:t>As the lockdown measures were gradually eased and economic activities resumed, the unemployment rate began to decline. However, it remained elevat</w:t>
      </w:r>
      <w:r w:rsidR="001B538D">
        <w:rPr>
          <w:rFonts w:ascii="Arial" w:eastAsia="Times New Roman" w:hAnsi="Arial" w:cs="Arial"/>
          <w:kern w:val="0"/>
          <w:sz w:val="28"/>
          <w:szCs w:val="28"/>
          <w:lang w:eastAsia="en-IN"/>
          <w14:ligatures w14:val="none"/>
        </w:rPr>
        <w:t>ed compared to pre-pandemic levels throughout much of 2020 and into 2021.</w:t>
      </w:r>
    </w:p>
    <w:p w:rsidR="00B772E1" w:rsidRDefault="00B772E1" w:rsidP="000B7A3E">
      <w:pPr>
        <w:pBdr>
          <w:top w:val="single" w:sz="2" w:space="0" w:color="E3E3E3"/>
          <w:left w:val="single" w:sz="2" w:space="0" w:color="E3E3E3"/>
          <w:bottom w:val="single" w:sz="2" w:space="0" w:color="E3E3E3"/>
          <w:right w:val="single" w:sz="2" w:space="0" w:color="E3E3E3"/>
        </w:pBdr>
        <w:shd w:val="clear" w:color="auto" w:fill="FFFFFF"/>
        <w:spacing w:after="100" w:line="240" w:lineRule="auto"/>
        <w:jc w:val="both"/>
        <w:rPr>
          <w:rFonts w:ascii="Arial" w:eastAsia="Times New Roman" w:hAnsi="Arial" w:cs="Arial"/>
          <w:kern w:val="0"/>
          <w:sz w:val="28"/>
          <w:szCs w:val="28"/>
          <w:lang w:eastAsia="en-IN"/>
          <w14:ligatures w14:val="none"/>
        </w:rPr>
      </w:pPr>
    </w:p>
    <w:p w:rsidR="000B7A3E" w:rsidRDefault="000B7A3E"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p>
    <w:p w:rsidR="000B7A3E" w:rsidRDefault="000B7A3E"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p>
    <w:p w:rsidR="00B772E1" w:rsidRPr="000B7A3E" w:rsidRDefault="000B7A3E" w:rsidP="000B7A3E">
      <w:pPr>
        <w:pBdr>
          <w:bottom w:val="single" w:sz="6" w:space="1" w:color="auto"/>
        </w:pBdr>
        <w:spacing w:after="0" w:line="240" w:lineRule="auto"/>
        <w:jc w:val="both"/>
        <w:rPr>
          <w:rFonts w:ascii="Agency FB" w:eastAsia="Times New Roman" w:hAnsi="Agency FB" w:cs="Arial"/>
          <w:kern w:val="0"/>
          <w:sz w:val="28"/>
          <w:szCs w:val="28"/>
          <w:lang w:eastAsia="en-IN"/>
          <w14:ligatures w14:val="none"/>
        </w:rPr>
        <w:sectPr w:rsidR="00B772E1" w:rsidRPr="000B7A3E">
          <w:pgSz w:w="11906" w:h="16838"/>
          <w:pgMar w:top="1440" w:right="1440" w:bottom="1440" w:left="1440" w:header="708" w:footer="708" w:gutter="0"/>
          <w:cols w:space="708"/>
          <w:docGrid w:linePitch="360"/>
        </w:sectPr>
      </w:pPr>
      <w:r>
        <w:rPr>
          <w:rFonts w:ascii="Arial" w:eastAsia="Times New Roman" w:hAnsi="Arial" w:cs="Arial"/>
          <w:kern w:val="0"/>
          <w:sz w:val="28"/>
          <w:szCs w:val="28"/>
          <w:lang w:eastAsia="en-IN"/>
          <w14:ligatures w14:val="none"/>
        </w:rPr>
        <w:lastRenderedPageBreak/>
        <w:t xml:space="preserve">                                         </w:t>
      </w:r>
      <w:r w:rsidR="001B538D">
        <w:rPr>
          <w:rFonts w:ascii="Arial" w:eastAsia="Times New Roman" w:hAnsi="Arial" w:cs="Arial"/>
          <w:kern w:val="0"/>
          <w:sz w:val="28"/>
          <w:szCs w:val="28"/>
          <w:lang w:eastAsia="en-IN"/>
          <w14:ligatures w14:val="none"/>
        </w:rPr>
        <w:t>The exact unemployment figures can vary based on different sources and methodologies used for calculation. Additionally, informal and unorganized sectors, which constitute a signifi</w:t>
      </w:r>
      <w:r w:rsidR="001B538D">
        <w:rPr>
          <w:rFonts w:ascii="Arial" w:eastAsia="Times New Roman" w:hAnsi="Arial" w:cs="Arial"/>
          <w:kern w:val="0"/>
          <w:sz w:val="28"/>
          <w:szCs w:val="28"/>
          <w:lang w:eastAsia="en-IN"/>
          <w14:ligatures w14:val="none"/>
        </w:rPr>
        <w:t xml:space="preserve">cant portion of India's workforce, may not be fully captured in official statistics, leading to underestimations </w:t>
      </w:r>
      <w:r>
        <w:rPr>
          <w:rFonts w:ascii="Arial" w:eastAsia="Times New Roman" w:hAnsi="Arial" w:cs="Arial"/>
          <w:kern w:val="0"/>
          <w:sz w:val="28"/>
          <w:szCs w:val="28"/>
          <w:lang w:eastAsia="en-IN"/>
          <w14:ligatures w14:val="none"/>
        </w:rPr>
        <w:t>of the actual unemployment rate</w:t>
      </w:r>
    </w:p>
    <w:p w:rsidR="00B772E1" w:rsidRDefault="000B7A3E" w:rsidP="000B7A3E">
      <w:pPr>
        <w:pBdr>
          <w:bottom w:val="single" w:sz="6" w:space="1" w:color="auto"/>
        </w:pBdr>
        <w:spacing w:after="0" w:line="240" w:lineRule="auto"/>
        <w:jc w:val="both"/>
        <w:rPr>
          <w:rFonts w:ascii="Arial" w:eastAsia="Times New Roman" w:hAnsi="Arial" w:cs="Arial"/>
          <w:vanish/>
          <w:kern w:val="0"/>
          <w:sz w:val="28"/>
          <w:szCs w:val="28"/>
          <w:lang w:eastAsia="en-IN"/>
          <w14:ligatures w14:val="none"/>
        </w:rPr>
        <w:sectPr w:rsidR="00B772E1">
          <w:pgSz w:w="11906" w:h="16838"/>
          <w:pgMar w:top="1440" w:right="1440" w:bottom="1440" w:left="1440" w:header="708" w:footer="708" w:gutter="0"/>
          <w:cols w:space="708"/>
          <w:docGrid w:linePitch="360"/>
        </w:sectPr>
      </w:pPr>
      <w:r>
        <w:rPr>
          <w:rFonts w:ascii="Arial" w:eastAsia="Times New Roman" w:hAnsi="Arial" w:cs="Arial"/>
          <w:kern w:val="0"/>
          <w:sz w:val="28"/>
          <w:szCs w:val="28"/>
          <w:lang w:eastAsia="en-IN"/>
          <w14:ligatures w14:val="none"/>
        </w:rPr>
        <w:lastRenderedPageBreak/>
        <w:t xml:space="preserve">                             </w:t>
      </w:r>
    </w:p>
    <w:p w:rsidR="00B772E1" w:rsidRDefault="00B772E1" w:rsidP="000B7A3E">
      <w:pPr>
        <w:pBdr>
          <w:bottom w:val="single" w:sz="6" w:space="1" w:color="auto"/>
        </w:pBdr>
        <w:spacing w:after="0" w:line="240" w:lineRule="auto"/>
        <w:jc w:val="both"/>
        <w:rPr>
          <w:rFonts w:ascii="Arial" w:eastAsia="Times New Roman" w:hAnsi="Arial" w:cs="Arial"/>
          <w:vanish/>
          <w:kern w:val="0"/>
          <w:sz w:val="28"/>
          <w:szCs w:val="28"/>
          <w:lang w:eastAsia="en-IN"/>
          <w14:ligatures w14:val="none"/>
        </w:rPr>
        <w:sectPr w:rsidR="00B772E1">
          <w:pgSz w:w="16838" w:h="11906" w:orient="landscape"/>
          <w:pgMar w:top="1440" w:right="1440" w:bottom="1440" w:left="1440" w:header="708" w:footer="708" w:gutter="0"/>
          <w:cols w:space="708"/>
          <w:docGrid w:linePitch="360"/>
        </w:sectPr>
      </w:pPr>
    </w:p>
    <w:p w:rsidR="00B772E1" w:rsidRDefault="00B772E1" w:rsidP="000B7A3E">
      <w:pPr>
        <w:pBdr>
          <w:bottom w:val="single" w:sz="6" w:space="1" w:color="auto"/>
        </w:pBdr>
        <w:spacing w:after="0" w:line="240" w:lineRule="auto"/>
        <w:jc w:val="both"/>
        <w:rPr>
          <w:rFonts w:ascii="Arial" w:eastAsia="Times New Roman" w:hAnsi="Arial" w:cs="Arial"/>
          <w:vanish/>
          <w:kern w:val="0"/>
          <w:sz w:val="28"/>
          <w:szCs w:val="28"/>
          <w:lang w:eastAsia="en-IN"/>
          <w14:ligatures w14:val="none"/>
        </w:rPr>
        <w:sectPr w:rsidR="00B772E1">
          <w:pgSz w:w="16838" w:h="11906" w:orient="landscape"/>
          <w:pgMar w:top="1440" w:right="1440" w:bottom="1440" w:left="1440" w:header="708" w:footer="708" w:gutter="0"/>
          <w:cols w:space="708"/>
          <w:docGrid w:linePitch="360"/>
        </w:sectPr>
      </w:pPr>
    </w:p>
    <w:p w:rsidR="00B772E1" w:rsidRDefault="001B538D"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r>
        <w:rPr>
          <w:rFonts w:ascii="Arial" w:eastAsia="Times New Roman" w:hAnsi="Arial" w:cs="Arial"/>
          <w:vanish/>
          <w:kern w:val="0"/>
          <w:sz w:val="28"/>
          <w:szCs w:val="28"/>
          <w:lang w:eastAsia="en-IN"/>
          <w14:ligatures w14:val="none"/>
        </w:rPr>
        <w:t>Top of Form</w:t>
      </w:r>
      <w:r>
        <w:rPr>
          <w:rFonts w:ascii="Arial" w:eastAsia="Times New Roman" w:hAnsi="Arial" w:cs="Arial"/>
          <w:kern w:val="0"/>
          <w:sz w:val="28"/>
          <w:szCs w:val="28"/>
          <w:lang w:eastAsia="en-IN"/>
          <w14:ligatures w14:val="none"/>
        </w:rPr>
        <w:t xml:space="preserve">The COVID-19 pandemic has had a </w:t>
      </w:r>
      <w:r>
        <w:rPr>
          <w:rFonts w:ascii="Arial" w:eastAsia="Times New Roman" w:hAnsi="Arial" w:cs="Arial"/>
          <w:kern w:val="0"/>
          <w:sz w:val="28"/>
          <w:szCs w:val="28"/>
          <w:lang w:eastAsia="en-IN"/>
          <w14:ligatures w14:val="none"/>
        </w:rPr>
        <w:t>profound impact on countries worldwide, including India. The first cases in India were reported in January 2020, and by March 2020, the government implemented strict lockdown measures to contain the spread of the virus. These measures included travel restr</w:t>
      </w:r>
      <w:r>
        <w:rPr>
          <w:rFonts w:ascii="Arial" w:eastAsia="Times New Roman" w:hAnsi="Arial" w:cs="Arial"/>
          <w:kern w:val="0"/>
          <w:sz w:val="28"/>
          <w:szCs w:val="28"/>
          <w:lang w:eastAsia="en-IN"/>
          <w14:ligatures w14:val="none"/>
        </w:rPr>
        <w:t>ictions, closure of businesses, and limitations on public gatherings.</w:t>
      </w:r>
    </w:p>
    <w:p w:rsidR="00B772E1" w:rsidRDefault="00B772E1"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p>
    <w:p w:rsidR="00B772E1" w:rsidRDefault="000B7A3E"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001B538D">
        <w:rPr>
          <w:rFonts w:ascii="Arial" w:eastAsia="Times New Roman" w:hAnsi="Arial" w:cs="Arial"/>
          <w:kern w:val="0"/>
          <w:sz w:val="28"/>
          <w:szCs w:val="28"/>
          <w:lang w:eastAsia="en-IN"/>
          <w14:ligatures w14:val="none"/>
        </w:rPr>
        <w:t xml:space="preserve">The pandemic disrupted various sectors of the Indian economy, leading to job losses, reduced economic activity, and supply chain disruptions. Millions of migrant workers, particularly </w:t>
      </w:r>
      <w:r w:rsidR="001B538D">
        <w:rPr>
          <w:rFonts w:ascii="Arial" w:eastAsia="Times New Roman" w:hAnsi="Arial" w:cs="Arial"/>
          <w:kern w:val="0"/>
          <w:sz w:val="28"/>
          <w:szCs w:val="28"/>
          <w:lang w:eastAsia="en-IN"/>
          <w14:ligatures w14:val="none"/>
        </w:rPr>
        <w:t>those employed in informal sectors and daily wage laborers, faced immense challenges due to the sudden loss of income and limited access to essential services.</w:t>
      </w:r>
    </w:p>
    <w:p w:rsidR="00B772E1" w:rsidRDefault="00B772E1"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p>
    <w:p w:rsidR="00B772E1" w:rsidRDefault="000B7A3E"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001B538D">
        <w:rPr>
          <w:rFonts w:ascii="Arial" w:eastAsia="Times New Roman" w:hAnsi="Arial" w:cs="Arial"/>
          <w:kern w:val="0"/>
          <w:sz w:val="28"/>
          <w:szCs w:val="28"/>
          <w:lang w:eastAsia="en-IN"/>
          <w14:ligatures w14:val="none"/>
        </w:rPr>
        <w:t>The healthcare system also faced significant strain due to the surge in COVID-19 cases, with ho</w:t>
      </w:r>
      <w:r w:rsidR="001B538D">
        <w:rPr>
          <w:rFonts w:ascii="Arial" w:eastAsia="Times New Roman" w:hAnsi="Arial" w:cs="Arial"/>
          <w:kern w:val="0"/>
          <w:sz w:val="28"/>
          <w:szCs w:val="28"/>
          <w:lang w:eastAsia="en-IN"/>
          <w14:ligatures w14:val="none"/>
        </w:rPr>
        <w:t>spitals overwhelmed and shortages of medical supplies reported in some regions. Efforts were made to ramp up testing, enhance healthcare infrastructure, and accelerate vaccination campaigns to curb the spread of the virus and mitigate its impact.</w:t>
      </w:r>
    </w:p>
    <w:p w:rsidR="00B772E1" w:rsidRDefault="00B772E1"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p>
    <w:p w:rsidR="00B772E1" w:rsidRDefault="000B7A3E"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001B538D">
        <w:rPr>
          <w:rFonts w:ascii="Arial" w:eastAsia="Times New Roman" w:hAnsi="Arial" w:cs="Arial"/>
          <w:kern w:val="0"/>
          <w:sz w:val="28"/>
          <w:szCs w:val="28"/>
          <w:lang w:eastAsia="en-IN"/>
          <w14:ligatures w14:val="none"/>
        </w:rPr>
        <w:t xml:space="preserve">Despite </w:t>
      </w:r>
      <w:r w:rsidR="001B538D">
        <w:rPr>
          <w:rFonts w:ascii="Arial" w:eastAsia="Times New Roman" w:hAnsi="Arial" w:cs="Arial"/>
          <w:kern w:val="0"/>
          <w:sz w:val="28"/>
          <w:szCs w:val="28"/>
          <w:lang w:eastAsia="en-IN"/>
          <w14:ligatures w14:val="none"/>
        </w:rPr>
        <w:t>these challenges, India has shown resilience in its response to the pandemic, with efforts to develop indigenous vaccines, implement containment measures, and provide support to affected communities. However, the socioeconomic effects of the pandemic conti</w:t>
      </w:r>
      <w:r w:rsidR="001B538D">
        <w:rPr>
          <w:rFonts w:ascii="Arial" w:eastAsia="Times New Roman" w:hAnsi="Arial" w:cs="Arial"/>
          <w:kern w:val="0"/>
          <w:sz w:val="28"/>
          <w:szCs w:val="28"/>
          <w:lang w:eastAsia="en-IN"/>
          <w14:ligatures w14:val="none"/>
        </w:rPr>
        <w:t>nue to be felt, highlighting the need for sustained efforts to address both the immediate and long-term consequences.</w:t>
      </w:r>
    </w:p>
    <w:p w:rsidR="00B772E1" w:rsidRDefault="000B7A3E"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001B538D">
        <w:rPr>
          <w:rFonts w:ascii="Arial" w:eastAsia="Times New Roman" w:hAnsi="Arial" w:cs="Arial"/>
          <w:kern w:val="0"/>
          <w:sz w:val="28"/>
          <w:szCs w:val="28"/>
          <w:lang w:eastAsia="en-IN"/>
          <w14:ligatures w14:val="none"/>
        </w:rPr>
        <w:t xml:space="preserve">The consequences of the COVID-19 pandemic are multifaceted and extend across various aspects of society, economy, and public health. Some </w:t>
      </w:r>
      <w:r w:rsidR="001B538D">
        <w:rPr>
          <w:rFonts w:ascii="Arial" w:eastAsia="Times New Roman" w:hAnsi="Arial" w:cs="Arial"/>
          <w:kern w:val="0"/>
          <w:sz w:val="28"/>
          <w:szCs w:val="28"/>
          <w:lang w:eastAsia="en-IN"/>
          <w14:ligatures w14:val="none"/>
        </w:rPr>
        <w:t>of the significant consequences include:</w:t>
      </w:r>
    </w:p>
    <w:p w:rsidR="00B772E1" w:rsidRDefault="00B772E1"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p>
    <w:p w:rsidR="00B772E1" w:rsidRDefault="000B7A3E"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r w:rsidRPr="000539AA">
        <w:rPr>
          <w:rFonts w:ascii="Arial" w:eastAsia="Times New Roman" w:hAnsi="Arial" w:cs="Arial"/>
          <w:color w:val="FF0000"/>
          <w:kern w:val="0"/>
          <w:sz w:val="28"/>
          <w:szCs w:val="28"/>
          <w:lang w:eastAsia="en-IN"/>
          <w14:ligatures w14:val="none"/>
        </w:rPr>
        <w:t xml:space="preserve">1. </w:t>
      </w:r>
      <w:r w:rsidRPr="000B7A3E">
        <w:rPr>
          <w:rFonts w:ascii="Arial" w:eastAsia="Times New Roman" w:hAnsi="Arial" w:cs="Arial"/>
          <w:b/>
          <w:color w:val="FF0000"/>
          <w:kern w:val="0"/>
          <w:sz w:val="32"/>
          <w:szCs w:val="28"/>
          <w:lang w:eastAsia="en-IN"/>
          <w14:ligatures w14:val="none"/>
        </w:rPr>
        <w:t>Public Health Impact:-</w:t>
      </w:r>
      <w:r w:rsidR="001B538D" w:rsidRPr="000B7A3E">
        <w:rPr>
          <w:rFonts w:ascii="Arial" w:eastAsia="Times New Roman" w:hAnsi="Arial" w:cs="Arial"/>
          <w:color w:val="FF0000"/>
          <w:kern w:val="0"/>
          <w:sz w:val="32"/>
          <w:szCs w:val="28"/>
          <w:lang w:eastAsia="en-IN"/>
          <w14:ligatures w14:val="none"/>
        </w:rPr>
        <w:t xml:space="preserve"> </w:t>
      </w:r>
      <w:r w:rsidR="001B538D">
        <w:rPr>
          <w:rFonts w:ascii="Arial" w:eastAsia="Times New Roman" w:hAnsi="Arial" w:cs="Arial"/>
          <w:kern w:val="0"/>
          <w:sz w:val="28"/>
          <w:szCs w:val="28"/>
          <w:lang w:eastAsia="en-IN"/>
          <w14:ligatures w14:val="none"/>
        </w:rPr>
        <w:t>COVID-19 has led to millions of infections and deaths worldwide, overwhelming healthcare systems in many countries. The virus has caused severe illness, long-term health complications f</w:t>
      </w:r>
      <w:r w:rsidR="001B538D">
        <w:rPr>
          <w:rFonts w:ascii="Arial" w:eastAsia="Times New Roman" w:hAnsi="Arial" w:cs="Arial"/>
          <w:kern w:val="0"/>
          <w:sz w:val="28"/>
          <w:szCs w:val="28"/>
          <w:lang w:eastAsia="en-IN"/>
          <w14:ligatures w14:val="none"/>
        </w:rPr>
        <w:t>or some individuals, and significant strain on healthcare workers.</w:t>
      </w:r>
    </w:p>
    <w:p w:rsidR="00B772E1" w:rsidRDefault="00B772E1"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p>
    <w:p w:rsidR="00B772E1" w:rsidRDefault="000B7A3E"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r w:rsidRPr="000539AA">
        <w:rPr>
          <w:rFonts w:ascii="Arial" w:eastAsia="Times New Roman" w:hAnsi="Arial" w:cs="Arial"/>
          <w:b/>
          <w:color w:val="FF0000"/>
          <w:kern w:val="0"/>
          <w:sz w:val="28"/>
          <w:szCs w:val="28"/>
          <w:u w:val="single"/>
          <w:lang w:eastAsia="en-IN"/>
          <w14:ligatures w14:val="none"/>
        </w:rPr>
        <w:t>2. Economic Fallout:-</w:t>
      </w:r>
      <w:r w:rsidR="001B538D" w:rsidRPr="000539AA">
        <w:rPr>
          <w:rFonts w:ascii="Arial" w:eastAsia="Times New Roman" w:hAnsi="Arial" w:cs="Arial"/>
          <w:color w:val="FF0000"/>
          <w:kern w:val="0"/>
          <w:sz w:val="28"/>
          <w:szCs w:val="28"/>
          <w:lang w:eastAsia="en-IN"/>
          <w14:ligatures w14:val="none"/>
        </w:rPr>
        <w:t xml:space="preserve"> </w:t>
      </w:r>
      <w:r w:rsidR="001B538D">
        <w:rPr>
          <w:rFonts w:ascii="Arial" w:eastAsia="Times New Roman" w:hAnsi="Arial" w:cs="Arial"/>
          <w:kern w:val="0"/>
          <w:sz w:val="28"/>
          <w:szCs w:val="28"/>
          <w:lang w:eastAsia="en-IN"/>
          <w14:ligatures w14:val="none"/>
        </w:rPr>
        <w:t>The pandemic has triggered a global economic downturn, resulting in job losses, business closures, and disruptions to supply chains. Many industries, such as trave</w:t>
      </w:r>
      <w:r w:rsidR="001B538D">
        <w:rPr>
          <w:rFonts w:ascii="Arial" w:eastAsia="Times New Roman" w:hAnsi="Arial" w:cs="Arial"/>
          <w:kern w:val="0"/>
          <w:sz w:val="28"/>
          <w:szCs w:val="28"/>
          <w:lang w:eastAsia="en-IN"/>
          <w14:ligatures w14:val="none"/>
        </w:rPr>
        <w:t>l, hospitality, and retail, have been particularly hard hit. The economic impact has been felt at both individual and national levels, with millions experiencing financial hardship and governments implementing stimulus measures to support economies.</w:t>
      </w:r>
    </w:p>
    <w:p w:rsidR="00B772E1" w:rsidRDefault="00B772E1"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p>
    <w:p w:rsidR="00B772E1" w:rsidRDefault="000539AA"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r w:rsidRPr="000539AA">
        <w:rPr>
          <w:rFonts w:ascii="Arial" w:eastAsia="Times New Roman" w:hAnsi="Arial" w:cs="Arial"/>
          <w:b/>
          <w:color w:val="FF0000"/>
          <w:kern w:val="0"/>
          <w:sz w:val="28"/>
          <w:szCs w:val="28"/>
          <w:lang w:eastAsia="en-IN"/>
          <w14:ligatures w14:val="none"/>
        </w:rPr>
        <w:lastRenderedPageBreak/>
        <w:t>3. Social Disruption:-</w:t>
      </w:r>
      <w:r w:rsidR="001B538D">
        <w:rPr>
          <w:rFonts w:ascii="Arial" w:eastAsia="Times New Roman" w:hAnsi="Arial" w:cs="Arial"/>
          <w:kern w:val="0"/>
          <w:sz w:val="28"/>
          <w:szCs w:val="28"/>
          <w:lang w:eastAsia="en-IN"/>
          <w14:ligatures w14:val="none"/>
        </w:rPr>
        <w:t>COVID-19 has caused widespread social disruption, including restrictions on movement, closures of schools and public spaces, and limitations on social gatherings. These measures have affected daily life, social interactions, and mental</w:t>
      </w:r>
      <w:r w:rsidR="001B538D">
        <w:rPr>
          <w:rFonts w:ascii="Arial" w:eastAsia="Times New Roman" w:hAnsi="Arial" w:cs="Arial"/>
          <w:kern w:val="0"/>
          <w:sz w:val="28"/>
          <w:szCs w:val="28"/>
          <w:lang w:eastAsia="en-IN"/>
          <w14:ligatures w14:val="none"/>
        </w:rPr>
        <w:t xml:space="preserve"> well-being, leading to increased stress, isolation, and loneliness for many individuals.</w:t>
      </w:r>
    </w:p>
    <w:p w:rsidR="00B772E1" w:rsidRDefault="00B772E1"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p>
    <w:p w:rsidR="00B772E1" w:rsidRDefault="000539AA"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r w:rsidRPr="000539AA">
        <w:rPr>
          <w:rFonts w:ascii="Arial" w:eastAsia="Times New Roman" w:hAnsi="Arial" w:cs="Arial"/>
          <w:b/>
          <w:color w:val="FF0000"/>
          <w:kern w:val="0"/>
          <w:sz w:val="28"/>
          <w:szCs w:val="28"/>
          <w:lang w:eastAsia="en-IN"/>
          <w14:ligatures w14:val="none"/>
        </w:rPr>
        <w:t>4.</w:t>
      </w:r>
      <w:r>
        <w:rPr>
          <w:rFonts w:ascii="Arial" w:eastAsia="Times New Roman" w:hAnsi="Arial" w:cs="Arial"/>
          <w:b/>
          <w:color w:val="FF0000"/>
          <w:kern w:val="0"/>
          <w:sz w:val="28"/>
          <w:szCs w:val="28"/>
          <w:lang w:eastAsia="en-IN"/>
          <w14:ligatures w14:val="none"/>
        </w:rPr>
        <w:t>Educational Challenges:</w:t>
      </w:r>
      <w:r w:rsidRPr="000539AA">
        <w:rPr>
          <w:rFonts w:ascii="Arial" w:eastAsia="Times New Roman" w:hAnsi="Arial" w:cs="Arial"/>
          <w:b/>
          <w:color w:val="FF0000"/>
          <w:kern w:val="0"/>
          <w:sz w:val="28"/>
          <w:szCs w:val="28"/>
          <w:lang w:eastAsia="en-IN"/>
          <w14:ligatures w14:val="none"/>
        </w:rPr>
        <w:t>-</w:t>
      </w:r>
      <w:r w:rsidR="001B538D" w:rsidRPr="000539AA">
        <w:rPr>
          <w:rFonts w:ascii="Arial" w:eastAsia="Times New Roman" w:hAnsi="Arial" w:cs="Arial"/>
          <w:color w:val="FF0000"/>
          <w:kern w:val="0"/>
          <w:sz w:val="28"/>
          <w:szCs w:val="28"/>
          <w:lang w:eastAsia="en-IN"/>
          <w14:ligatures w14:val="none"/>
        </w:rPr>
        <w:t xml:space="preserve"> </w:t>
      </w:r>
      <w:r w:rsidR="001B538D">
        <w:rPr>
          <w:rFonts w:ascii="Arial" w:eastAsia="Times New Roman" w:hAnsi="Arial" w:cs="Arial"/>
          <w:kern w:val="0"/>
          <w:sz w:val="28"/>
          <w:szCs w:val="28"/>
          <w:lang w:eastAsia="en-IN"/>
          <w14:ligatures w14:val="none"/>
        </w:rPr>
        <w:t>School closures and the shift to remote learning have posed challenges for students, educators, and parents. The digital divide has ex</w:t>
      </w:r>
      <w:r w:rsidR="001B538D">
        <w:rPr>
          <w:rFonts w:ascii="Arial" w:eastAsia="Times New Roman" w:hAnsi="Arial" w:cs="Arial"/>
          <w:kern w:val="0"/>
          <w:sz w:val="28"/>
          <w:szCs w:val="28"/>
          <w:lang w:eastAsia="en-IN"/>
          <w14:ligatures w14:val="none"/>
        </w:rPr>
        <w:t>acerbated disparities in access to education, with marginalized communities facing greater difficulties in accessing online learning resources.</w:t>
      </w:r>
    </w:p>
    <w:p w:rsidR="00B772E1" w:rsidRPr="000539AA" w:rsidRDefault="00B772E1" w:rsidP="000B7A3E">
      <w:pPr>
        <w:pBdr>
          <w:bottom w:val="single" w:sz="6" w:space="1" w:color="auto"/>
        </w:pBdr>
        <w:spacing w:after="0" w:line="240" w:lineRule="auto"/>
        <w:jc w:val="both"/>
        <w:rPr>
          <w:rFonts w:ascii="Arial" w:eastAsia="Times New Roman" w:hAnsi="Arial" w:cs="Arial"/>
          <w:b/>
          <w:color w:val="FF0000"/>
          <w:kern w:val="0"/>
          <w:sz w:val="28"/>
          <w:szCs w:val="28"/>
          <w:lang w:eastAsia="en-IN"/>
          <w14:ligatures w14:val="none"/>
        </w:rPr>
      </w:pPr>
    </w:p>
    <w:p w:rsidR="00B772E1" w:rsidRDefault="001B538D"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r w:rsidRPr="000539AA">
        <w:rPr>
          <w:rFonts w:ascii="Arial" w:eastAsia="Times New Roman" w:hAnsi="Arial" w:cs="Arial"/>
          <w:b/>
          <w:color w:val="FF0000"/>
          <w:kern w:val="0"/>
          <w:sz w:val="28"/>
          <w:szCs w:val="28"/>
          <w:lang w:eastAsia="en-IN"/>
          <w14:ligatures w14:val="none"/>
        </w:rPr>
        <w:t>5.</w:t>
      </w:r>
      <w:r w:rsidR="000539AA">
        <w:rPr>
          <w:rFonts w:ascii="Arial" w:eastAsia="Times New Roman" w:hAnsi="Arial" w:cs="Arial"/>
          <w:b/>
          <w:color w:val="FF0000"/>
          <w:kern w:val="0"/>
          <w:sz w:val="28"/>
          <w:szCs w:val="28"/>
          <w:lang w:eastAsia="en-IN"/>
          <w14:ligatures w14:val="none"/>
        </w:rPr>
        <w:t xml:space="preserve"> Global Travel Restrictions:-</w:t>
      </w:r>
      <w:r>
        <w:rPr>
          <w:rFonts w:ascii="Arial" w:eastAsia="Times New Roman" w:hAnsi="Arial" w:cs="Arial"/>
          <w:kern w:val="0"/>
          <w:sz w:val="28"/>
          <w:szCs w:val="28"/>
          <w:lang w:eastAsia="en-IN"/>
          <w14:ligatures w14:val="none"/>
        </w:rPr>
        <w:t>To prevent the spread of the virus, many countries have imposed travel restr</w:t>
      </w:r>
      <w:r>
        <w:rPr>
          <w:rFonts w:ascii="Arial" w:eastAsia="Times New Roman" w:hAnsi="Arial" w:cs="Arial"/>
          <w:kern w:val="0"/>
          <w:sz w:val="28"/>
          <w:szCs w:val="28"/>
          <w:lang w:eastAsia="en-IN"/>
          <w14:ligatures w14:val="none"/>
        </w:rPr>
        <w:t>ictions, including border closures, quarantine measures, and flight cancellations. These restrictions have disrupted international travel, tourism, and business activities, impacting economies reliant on tourism and cross-border trade.</w:t>
      </w:r>
    </w:p>
    <w:p w:rsidR="00B772E1" w:rsidRDefault="00B772E1"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p>
    <w:p w:rsidR="00B772E1" w:rsidRDefault="000539AA"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r>
        <w:rPr>
          <w:rFonts w:ascii="Arial" w:eastAsia="Times New Roman" w:hAnsi="Arial" w:cs="Arial"/>
          <w:b/>
          <w:color w:val="FF0000"/>
          <w:kern w:val="0"/>
          <w:sz w:val="28"/>
          <w:szCs w:val="28"/>
          <w:lang w:eastAsia="en-IN"/>
          <w14:ligatures w14:val="none"/>
        </w:rPr>
        <w:t xml:space="preserve">6. </w:t>
      </w:r>
      <w:r w:rsidR="001B538D" w:rsidRPr="000539AA">
        <w:rPr>
          <w:rFonts w:ascii="Arial" w:eastAsia="Times New Roman" w:hAnsi="Arial" w:cs="Arial"/>
          <w:b/>
          <w:color w:val="FF0000"/>
          <w:kern w:val="0"/>
          <w:sz w:val="28"/>
          <w:szCs w:val="28"/>
          <w:lang w:eastAsia="en-IN"/>
          <w14:ligatures w14:val="none"/>
        </w:rPr>
        <w:t>Vaccine Inequa</w:t>
      </w:r>
      <w:r>
        <w:rPr>
          <w:rFonts w:ascii="Arial" w:eastAsia="Times New Roman" w:hAnsi="Arial" w:cs="Arial"/>
          <w:b/>
          <w:color w:val="FF0000"/>
          <w:kern w:val="0"/>
          <w:sz w:val="28"/>
          <w:szCs w:val="28"/>
          <w:lang w:eastAsia="en-IN"/>
          <w14:ligatures w14:val="none"/>
        </w:rPr>
        <w:t>lity:-</w:t>
      </w:r>
      <w:r w:rsidR="001B538D">
        <w:rPr>
          <w:rFonts w:ascii="Arial" w:eastAsia="Times New Roman" w:hAnsi="Arial" w:cs="Arial"/>
          <w:kern w:val="0"/>
          <w:sz w:val="28"/>
          <w:szCs w:val="28"/>
          <w:lang w:eastAsia="en-IN"/>
          <w14:ligatures w14:val="none"/>
        </w:rPr>
        <w:t>Disparities in vaccine distribution and access have emerged, with wealthier countries securing the majority of available vaccine doses while many low- and middle-income countries face challenges in procuring vaccines for their populations. This vac</w:t>
      </w:r>
      <w:r w:rsidR="001B538D">
        <w:rPr>
          <w:rFonts w:ascii="Arial" w:eastAsia="Times New Roman" w:hAnsi="Arial" w:cs="Arial"/>
          <w:kern w:val="0"/>
          <w:sz w:val="28"/>
          <w:szCs w:val="28"/>
          <w:lang w:eastAsia="en-IN"/>
          <w14:ligatures w14:val="none"/>
        </w:rPr>
        <w:t>cine inequality prolongs the pandemic and hinders efforts to achieve global immunity.</w:t>
      </w:r>
    </w:p>
    <w:p w:rsidR="00B772E1" w:rsidRDefault="00B772E1"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p>
    <w:p w:rsidR="00B772E1" w:rsidRDefault="000539AA"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r>
        <w:rPr>
          <w:rFonts w:ascii="Arial" w:eastAsia="Times New Roman" w:hAnsi="Arial" w:cs="Arial"/>
          <w:b/>
          <w:color w:val="FF0000"/>
          <w:kern w:val="0"/>
          <w:sz w:val="28"/>
          <w:szCs w:val="28"/>
          <w:lang w:eastAsia="en-IN"/>
          <w14:ligatures w14:val="none"/>
        </w:rPr>
        <w:t xml:space="preserve">7. </w:t>
      </w:r>
      <w:r w:rsidR="001B538D" w:rsidRPr="000539AA">
        <w:rPr>
          <w:rFonts w:ascii="Arial" w:eastAsia="Times New Roman" w:hAnsi="Arial" w:cs="Arial"/>
          <w:b/>
          <w:color w:val="FF0000"/>
          <w:kern w:val="0"/>
          <w:sz w:val="28"/>
          <w:szCs w:val="28"/>
          <w:lang w:eastAsia="en-IN"/>
          <w14:ligatures w14:val="none"/>
        </w:rPr>
        <w:t>Long-Term Health Implications</w:t>
      </w:r>
      <w:r w:rsidR="001B538D" w:rsidRPr="000539AA">
        <w:rPr>
          <w:rFonts w:ascii="Arial" w:eastAsia="Times New Roman" w:hAnsi="Arial" w:cs="Arial"/>
          <w:color w:val="FF0000"/>
          <w:kern w:val="0"/>
          <w:sz w:val="28"/>
          <w:szCs w:val="28"/>
          <w:lang w:eastAsia="en-IN"/>
          <w14:ligatures w14:val="none"/>
        </w:rPr>
        <w:t>:</w:t>
      </w:r>
      <w:r>
        <w:rPr>
          <w:rFonts w:ascii="Arial" w:eastAsia="Times New Roman" w:hAnsi="Arial" w:cs="Arial"/>
          <w:kern w:val="0"/>
          <w:sz w:val="28"/>
          <w:szCs w:val="28"/>
          <w:lang w:eastAsia="en-IN"/>
          <w14:ligatures w14:val="none"/>
        </w:rPr>
        <w:t>-</w:t>
      </w:r>
      <w:r w:rsidR="001B538D">
        <w:rPr>
          <w:rFonts w:ascii="Arial" w:eastAsia="Times New Roman" w:hAnsi="Arial" w:cs="Arial"/>
          <w:kern w:val="0"/>
          <w:sz w:val="28"/>
          <w:szCs w:val="28"/>
          <w:lang w:eastAsia="en-IN"/>
          <w14:ligatures w14:val="none"/>
        </w:rPr>
        <w:t>While COVID-19 primarily affects the respiratory system, emerging evidence suggests that it may also have long-term health conseque</w:t>
      </w:r>
      <w:r w:rsidR="001B538D">
        <w:rPr>
          <w:rFonts w:ascii="Arial" w:eastAsia="Times New Roman" w:hAnsi="Arial" w:cs="Arial"/>
          <w:kern w:val="0"/>
          <w:sz w:val="28"/>
          <w:szCs w:val="28"/>
          <w:lang w:eastAsia="en-IN"/>
          <w14:ligatures w14:val="none"/>
        </w:rPr>
        <w:t>nces, including effects on the cardiovascular system, neurological function, and mental health. Research is ongoing to understand the full spectrum of long-term effects, commonly referred to as "long COVID."</w:t>
      </w:r>
    </w:p>
    <w:p w:rsidR="00B772E1" w:rsidRDefault="00B772E1"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p>
    <w:p w:rsidR="00B772E1" w:rsidRDefault="000539AA"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001B538D">
        <w:rPr>
          <w:rFonts w:ascii="Arial" w:eastAsia="Times New Roman" w:hAnsi="Arial" w:cs="Arial"/>
          <w:kern w:val="0"/>
          <w:sz w:val="28"/>
          <w:szCs w:val="28"/>
          <w:lang w:eastAsia="en-IN"/>
          <w14:ligatures w14:val="none"/>
        </w:rPr>
        <w:t>Addressing the consequences of COVID-19 require</w:t>
      </w:r>
      <w:r w:rsidR="001B538D">
        <w:rPr>
          <w:rFonts w:ascii="Arial" w:eastAsia="Times New Roman" w:hAnsi="Arial" w:cs="Arial"/>
          <w:kern w:val="0"/>
          <w:sz w:val="28"/>
          <w:szCs w:val="28"/>
          <w:lang w:eastAsia="en-IN"/>
          <w14:ligatures w14:val="none"/>
        </w:rPr>
        <w:t>s a coordinated and multifaceted approach, including vaccination efforts, public health measures, economic support, and social interventions to mitigate the impact and build resilience in communities.</w:t>
      </w:r>
    </w:p>
    <w:p w:rsidR="00B772E1" w:rsidRDefault="00B772E1" w:rsidP="000B7A3E">
      <w:pPr>
        <w:pBdr>
          <w:bottom w:val="single" w:sz="6" w:space="1" w:color="auto"/>
        </w:pBdr>
        <w:spacing w:after="0" w:line="240" w:lineRule="auto"/>
        <w:jc w:val="both"/>
        <w:rPr>
          <w:rFonts w:ascii="Arial" w:eastAsia="Times New Roman" w:hAnsi="Arial" w:cs="Arial"/>
          <w:kern w:val="0"/>
          <w:sz w:val="28"/>
          <w:szCs w:val="28"/>
          <w:lang w:eastAsia="en-IN"/>
          <w14:ligatures w14:val="none"/>
        </w:rPr>
      </w:pPr>
    </w:p>
    <w:p w:rsidR="00B772E1" w:rsidRDefault="000539AA"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Pr>
          <w:rFonts w:ascii="Arial" w:eastAsia="Times New Roman" w:hAnsi="Arial"/>
          <w:kern w:val="0"/>
          <w:sz w:val="28"/>
          <w:szCs w:val="28"/>
          <w:lang w:eastAsia="en-IN"/>
          <w14:ligatures w14:val="none"/>
        </w:rPr>
        <w:t xml:space="preserve">                                        </w:t>
      </w:r>
      <w:r w:rsidR="001B538D">
        <w:rPr>
          <w:rFonts w:ascii="Arial" w:eastAsia="Times New Roman" w:hAnsi="Arial"/>
          <w:kern w:val="0"/>
          <w:sz w:val="28"/>
          <w:szCs w:val="28"/>
          <w:lang w:eastAsia="en-IN"/>
          <w14:ligatures w14:val="none"/>
        </w:rPr>
        <w:t>A</w:t>
      </w:r>
      <w:r w:rsidR="001B538D">
        <w:rPr>
          <w:rFonts w:ascii="Arial" w:eastAsia="Times New Roman" w:hAnsi="Arial"/>
          <w:kern w:val="0"/>
          <w:sz w:val="28"/>
          <w:szCs w:val="28"/>
          <w:lang w:eastAsia="en-IN"/>
          <w14:ligatures w14:val="none"/>
        </w:rPr>
        <w:t>s of my last update in January 2022, I don't have rea</w:t>
      </w:r>
      <w:r w:rsidR="001B538D">
        <w:rPr>
          <w:rFonts w:ascii="Arial" w:eastAsia="Times New Roman" w:hAnsi="Arial"/>
          <w:kern w:val="0"/>
          <w:sz w:val="28"/>
          <w:szCs w:val="28"/>
          <w:lang w:eastAsia="en-IN"/>
          <w14:ligatures w14:val="none"/>
        </w:rPr>
        <w:t>l-time data on the unemployment rates in Indian states. However, you can find this information from various sources such as government websites, statistical databases like the National Sample Survey Office (NSSO), or reports from organizations like the Cen</w:t>
      </w:r>
      <w:r w:rsidR="001B538D">
        <w:rPr>
          <w:rFonts w:ascii="Arial" w:eastAsia="Times New Roman" w:hAnsi="Arial"/>
          <w:kern w:val="0"/>
          <w:sz w:val="28"/>
          <w:szCs w:val="28"/>
          <w:lang w:eastAsia="en-IN"/>
          <w14:ligatures w14:val="none"/>
        </w:rPr>
        <w:t xml:space="preserve">tre for Monitoring Indian Economy (CMIE) which regularly publish unemployment data for </w:t>
      </w:r>
      <w:r w:rsidR="001B538D">
        <w:rPr>
          <w:rFonts w:ascii="Arial" w:eastAsia="Times New Roman" w:hAnsi="Arial"/>
          <w:kern w:val="0"/>
          <w:sz w:val="28"/>
          <w:szCs w:val="28"/>
          <w:lang w:eastAsia="en-IN"/>
          <w14:ligatures w14:val="none"/>
        </w:rPr>
        <w:lastRenderedPageBreak/>
        <w:t>different states in India. You may also find this information in news articles or reports from reputable economic research institutions.</w:t>
      </w:r>
    </w:p>
    <w:p w:rsidR="00B772E1" w:rsidRDefault="00B772E1"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772E1" w:rsidRDefault="000539AA"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Pr>
          <w:rFonts w:ascii="Arial" w:eastAsia="Times New Roman" w:hAnsi="Arial"/>
          <w:kern w:val="0"/>
          <w:sz w:val="28"/>
          <w:szCs w:val="28"/>
          <w:lang w:eastAsia="en-IN"/>
          <w14:ligatures w14:val="none"/>
        </w:rPr>
        <w:t xml:space="preserve">                                  </w:t>
      </w:r>
      <w:r w:rsidR="001B538D">
        <w:rPr>
          <w:rFonts w:ascii="Arial" w:eastAsia="Times New Roman" w:hAnsi="Arial"/>
          <w:kern w:val="0"/>
          <w:sz w:val="28"/>
          <w:szCs w:val="28"/>
          <w:lang w:eastAsia="en-IN"/>
          <w14:ligatures w14:val="none"/>
        </w:rPr>
        <w:t>As of my last update in January</w:t>
      </w:r>
      <w:r w:rsidR="001B538D">
        <w:rPr>
          <w:rFonts w:ascii="Arial" w:eastAsia="Times New Roman" w:hAnsi="Arial"/>
          <w:kern w:val="0"/>
          <w:sz w:val="28"/>
          <w:szCs w:val="28"/>
          <w:lang w:eastAsia="en-IN"/>
          <w14:ligatures w14:val="none"/>
        </w:rPr>
        <w:t xml:space="preserve"> 2022, I don't have specific data on COVID-19 related unemployment rates in Indian states. However, during the COVID-19 pandemic, many states in India experienced fluctuations in unemployment rates due to various factors such as lockdowns, restrictions on </w:t>
      </w:r>
      <w:r w:rsidR="001B538D">
        <w:rPr>
          <w:rFonts w:ascii="Arial" w:eastAsia="Times New Roman" w:hAnsi="Arial"/>
          <w:kern w:val="0"/>
          <w:sz w:val="28"/>
          <w:szCs w:val="28"/>
          <w:lang w:eastAsia="en-IN"/>
          <w14:ligatures w14:val="none"/>
        </w:rPr>
        <w:t>economic activities, and the overall impact of the pandemic on different sectors of the economy.</w:t>
      </w:r>
    </w:p>
    <w:p w:rsidR="00B772E1" w:rsidRDefault="00B772E1"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772E1" w:rsidRDefault="000539AA"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Pr>
          <w:rFonts w:ascii="Arial" w:eastAsia="Times New Roman" w:hAnsi="Arial"/>
          <w:kern w:val="0"/>
          <w:sz w:val="28"/>
          <w:szCs w:val="28"/>
          <w:lang w:eastAsia="en-IN"/>
          <w14:ligatures w14:val="none"/>
        </w:rPr>
        <w:t xml:space="preserve">                            </w:t>
      </w:r>
      <w:r w:rsidR="001B538D">
        <w:rPr>
          <w:rFonts w:ascii="Arial" w:eastAsia="Times New Roman" w:hAnsi="Arial"/>
          <w:kern w:val="0"/>
          <w:sz w:val="28"/>
          <w:szCs w:val="28"/>
          <w:lang w:eastAsia="en-IN"/>
          <w14:ligatures w14:val="none"/>
        </w:rPr>
        <w:t xml:space="preserve">To obtain the most recent and accurate data on COVID-19 related unemployment rates in Indian states, you can refer to reports and studies conducted by </w:t>
      </w:r>
      <w:r w:rsidR="001B538D">
        <w:rPr>
          <w:rFonts w:ascii="Arial" w:eastAsia="Times New Roman" w:hAnsi="Arial"/>
          <w:kern w:val="0"/>
          <w:sz w:val="28"/>
          <w:szCs w:val="28"/>
          <w:lang w:eastAsia="en-IN"/>
          <w14:ligatures w14:val="none"/>
        </w:rPr>
        <w:t>government agencies, research organizations, or economic think tanks. These sources often analyze the impact of the pandemic on employment and provide state-wise unemployment statistics. Additionally, government websites and dashboards may also provide dat</w:t>
      </w:r>
      <w:r w:rsidR="001B538D">
        <w:rPr>
          <w:rFonts w:ascii="Arial" w:eastAsia="Times New Roman" w:hAnsi="Arial"/>
          <w:kern w:val="0"/>
          <w:sz w:val="28"/>
          <w:szCs w:val="28"/>
          <w:lang w:eastAsia="en-IN"/>
          <w14:ligatures w14:val="none"/>
        </w:rPr>
        <w:t>a on the employment situation during the COVID-19 period.</w:t>
      </w:r>
    </w:p>
    <w:p w:rsidR="00B772E1" w:rsidRDefault="00B772E1"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772E1" w:rsidRDefault="00B772E1"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772E1" w:rsidRDefault="000539AA"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Pr>
          <w:rFonts w:ascii="Arial" w:eastAsia="Times New Roman" w:hAnsi="Arial"/>
          <w:kern w:val="0"/>
          <w:sz w:val="28"/>
          <w:szCs w:val="28"/>
          <w:lang w:eastAsia="en-IN"/>
          <w14:ligatures w14:val="none"/>
        </w:rPr>
        <w:t xml:space="preserve">                              </w:t>
      </w:r>
      <w:r w:rsidR="001B538D">
        <w:rPr>
          <w:rFonts w:ascii="Arial" w:eastAsia="Times New Roman" w:hAnsi="Arial"/>
          <w:kern w:val="0"/>
          <w:sz w:val="28"/>
          <w:szCs w:val="28"/>
          <w:lang w:eastAsia="en-IN"/>
          <w14:ligatures w14:val="none"/>
        </w:rPr>
        <w:t>During the COVID-19 pandemic, India, like many other countries, experienced significant disruptions to its economy, including rising unemployment rates. The impact varied across states due to fact</w:t>
      </w:r>
      <w:r w:rsidR="001B538D">
        <w:rPr>
          <w:rFonts w:ascii="Arial" w:eastAsia="Times New Roman" w:hAnsi="Arial"/>
          <w:kern w:val="0"/>
          <w:sz w:val="28"/>
          <w:szCs w:val="28"/>
          <w:lang w:eastAsia="en-IN"/>
          <w14:ligatures w14:val="none"/>
        </w:rPr>
        <w:t>ors such as the severity of the outbreak, the stringency of lockdown measures, and the structure of the local economy.</w:t>
      </w:r>
    </w:p>
    <w:p w:rsidR="00B772E1" w:rsidRDefault="00B772E1"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772E1" w:rsidRDefault="000539AA"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Pr>
          <w:rFonts w:ascii="Arial" w:eastAsia="Times New Roman" w:hAnsi="Arial"/>
          <w:kern w:val="0"/>
          <w:sz w:val="28"/>
          <w:szCs w:val="28"/>
          <w:lang w:eastAsia="en-IN"/>
          <w14:ligatures w14:val="none"/>
        </w:rPr>
        <w:t xml:space="preserve">                  </w:t>
      </w:r>
      <w:r w:rsidR="001B538D">
        <w:rPr>
          <w:rFonts w:ascii="Arial" w:eastAsia="Times New Roman" w:hAnsi="Arial"/>
          <w:kern w:val="0"/>
          <w:sz w:val="28"/>
          <w:szCs w:val="28"/>
          <w:lang w:eastAsia="en-IN"/>
          <w14:ligatures w14:val="none"/>
        </w:rPr>
        <w:t xml:space="preserve">Several Indian states with large urban centers and a high concentration of industries such as manufacturing, tourism, and services were </w:t>
      </w:r>
      <w:r w:rsidR="001B538D">
        <w:rPr>
          <w:rFonts w:ascii="Arial" w:eastAsia="Times New Roman" w:hAnsi="Arial"/>
          <w:kern w:val="0"/>
          <w:sz w:val="28"/>
          <w:szCs w:val="28"/>
          <w:lang w:eastAsia="en-IN"/>
          <w14:ligatures w14:val="none"/>
        </w:rPr>
        <w:t>particularly affected. States like Maharashtra, Tamil Nadu, Karnataka, Delhi, and Gujarat faced challenges due to the stringent lockdowns imposed to curb the spread of the virus, leading to layoffs, temporary closures of businesses, and a decline in econom</w:t>
      </w:r>
      <w:r w:rsidR="001B538D">
        <w:rPr>
          <w:rFonts w:ascii="Arial" w:eastAsia="Times New Roman" w:hAnsi="Arial"/>
          <w:kern w:val="0"/>
          <w:sz w:val="28"/>
          <w:szCs w:val="28"/>
          <w:lang w:eastAsia="en-IN"/>
          <w14:ligatures w14:val="none"/>
        </w:rPr>
        <w:t>ic activity.</w:t>
      </w:r>
    </w:p>
    <w:p w:rsidR="00B772E1" w:rsidRDefault="00B772E1"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772E1" w:rsidRDefault="000539AA"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Pr>
          <w:rFonts w:ascii="Arial" w:eastAsia="Times New Roman" w:hAnsi="Arial"/>
          <w:kern w:val="0"/>
          <w:sz w:val="28"/>
          <w:szCs w:val="28"/>
          <w:lang w:eastAsia="en-IN"/>
          <w14:ligatures w14:val="none"/>
        </w:rPr>
        <w:t xml:space="preserve">                                      </w:t>
      </w:r>
      <w:r w:rsidR="001B538D">
        <w:rPr>
          <w:rFonts w:ascii="Arial" w:eastAsia="Times New Roman" w:hAnsi="Arial"/>
          <w:kern w:val="0"/>
          <w:sz w:val="28"/>
          <w:szCs w:val="28"/>
          <w:lang w:eastAsia="en-IN"/>
          <w14:ligatures w14:val="none"/>
        </w:rPr>
        <w:t>Conversely, states with a more agrarian economy or those with a significant rural population might have experienced relatively lower levels of unemployment, as agriculture was less impacted by lockdown measures.</w:t>
      </w:r>
    </w:p>
    <w:p w:rsidR="00B772E1" w:rsidRDefault="00B772E1"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772E1" w:rsidRDefault="000539AA"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Pr>
          <w:rFonts w:ascii="Arial" w:eastAsia="Times New Roman" w:hAnsi="Arial"/>
          <w:kern w:val="0"/>
          <w:sz w:val="28"/>
          <w:szCs w:val="28"/>
          <w:lang w:eastAsia="en-IN"/>
          <w14:ligatures w14:val="none"/>
        </w:rPr>
        <w:t xml:space="preserve">                                   </w:t>
      </w:r>
      <w:r w:rsidR="001B538D">
        <w:rPr>
          <w:rFonts w:ascii="Arial" w:eastAsia="Times New Roman" w:hAnsi="Arial"/>
          <w:kern w:val="0"/>
          <w:sz w:val="28"/>
          <w:szCs w:val="28"/>
          <w:lang w:eastAsia="en-IN"/>
          <w14:ligatures w14:val="none"/>
        </w:rPr>
        <w:t>To obtain specific data on un</w:t>
      </w:r>
      <w:r w:rsidR="001B538D">
        <w:rPr>
          <w:rFonts w:ascii="Arial" w:eastAsia="Times New Roman" w:hAnsi="Arial"/>
          <w:kern w:val="0"/>
          <w:sz w:val="28"/>
          <w:szCs w:val="28"/>
          <w:lang w:eastAsia="en-IN"/>
          <w14:ligatures w14:val="none"/>
        </w:rPr>
        <w:t>employment rates in Indian states during the COVID-19 pandemic, you can refer to reports and studies conducted by government agencies, research organizations, or economic think tanks. Organizations like the Centre for Monitoring Indian Economy (CMIE) and t</w:t>
      </w:r>
      <w:r w:rsidR="001B538D">
        <w:rPr>
          <w:rFonts w:ascii="Arial" w:eastAsia="Times New Roman" w:hAnsi="Arial"/>
          <w:kern w:val="0"/>
          <w:sz w:val="28"/>
          <w:szCs w:val="28"/>
          <w:lang w:eastAsia="en-IN"/>
          <w14:ligatures w14:val="none"/>
        </w:rPr>
        <w:t xml:space="preserve">he National Sample Survey Office (NSSO) often provide detailed analyses of employment trends during this period. </w:t>
      </w:r>
      <w:r w:rsidR="001B538D">
        <w:rPr>
          <w:rFonts w:ascii="Arial" w:eastAsia="Times New Roman" w:hAnsi="Arial"/>
          <w:kern w:val="0"/>
          <w:sz w:val="28"/>
          <w:szCs w:val="28"/>
          <w:lang w:eastAsia="en-IN"/>
          <w14:ligatures w14:val="none"/>
        </w:rPr>
        <w:lastRenderedPageBreak/>
        <w:t>Additionally, government websites and dashboards may offer data on state-wise unemployment rates and the impact of the pandemic on employment.</w:t>
      </w:r>
    </w:p>
    <w:p w:rsidR="000539AA" w:rsidRDefault="000539AA"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0B7A3E" w:rsidRPr="000B7A3E"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sidRPr="000B7A3E">
        <w:rPr>
          <w:rFonts w:ascii="Arial" w:eastAsia="Times New Roman" w:hAnsi="Arial"/>
          <w:kern w:val="0"/>
          <w:sz w:val="28"/>
          <w:szCs w:val="28"/>
          <w:lang w:eastAsia="en-IN"/>
          <w14:ligatures w14:val="none"/>
        </w:rPr>
        <w:t>1. From an unprecedented health crisis to a deep economic crisis</w:t>
      </w:r>
    </w:p>
    <w:p w:rsidR="000B7A3E" w:rsidRPr="000B7A3E"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sidRPr="000B7A3E">
        <w:rPr>
          <w:rFonts w:ascii="Arial" w:eastAsia="Times New Roman" w:hAnsi="Arial"/>
          <w:kern w:val="0"/>
          <w:sz w:val="28"/>
          <w:szCs w:val="28"/>
          <w:lang w:eastAsia="en-IN"/>
          <w14:ligatures w14:val="none"/>
        </w:rPr>
        <w:t>Evolution and current scale of the health crisis across countries</w:t>
      </w:r>
    </w:p>
    <w:p w:rsidR="000B7A3E" w:rsidRPr="000B7A3E"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sidRPr="000B7A3E">
        <w:rPr>
          <w:rFonts w:ascii="Arial" w:eastAsia="Times New Roman" w:hAnsi="Arial"/>
          <w:kern w:val="0"/>
          <w:sz w:val="28"/>
          <w:szCs w:val="28"/>
          <w:lang w:eastAsia="en-IN"/>
          <w14:ligatures w14:val="none"/>
        </w:rPr>
        <w:t>Following its initial outbreak in the city of Wuhan in China in l</w:t>
      </w:r>
      <w:r w:rsidR="000539AA">
        <w:rPr>
          <w:rFonts w:ascii="Arial" w:eastAsia="Times New Roman" w:hAnsi="Arial"/>
          <w:kern w:val="0"/>
          <w:sz w:val="28"/>
          <w:szCs w:val="28"/>
          <w:lang w:eastAsia="en-IN"/>
          <w14:ligatures w14:val="none"/>
        </w:rPr>
        <w:t xml:space="preserve">ate 2019, the new coronavirus  </w:t>
      </w:r>
      <w:r w:rsidRPr="000B7A3E">
        <w:rPr>
          <w:rFonts w:ascii="Arial" w:eastAsia="Times New Roman" w:hAnsi="Arial"/>
          <w:kern w:val="0"/>
          <w:sz w:val="28"/>
          <w:szCs w:val="28"/>
          <w:lang w:eastAsia="en-IN"/>
          <w14:ligatures w14:val="none"/>
        </w:rPr>
        <w:t xml:space="preserve">responsible for the COVID-19 disease – rapidly became a pandemic </w:t>
      </w:r>
      <w:r w:rsidR="000539AA">
        <w:rPr>
          <w:rFonts w:ascii="Arial" w:eastAsia="Times New Roman" w:hAnsi="Arial"/>
          <w:kern w:val="0"/>
          <w:sz w:val="28"/>
          <w:szCs w:val="28"/>
          <w:lang w:eastAsia="en-IN"/>
          <w14:ligatures w14:val="none"/>
        </w:rPr>
        <w:t xml:space="preserve">as it spread to most countries </w:t>
      </w:r>
      <w:r w:rsidRPr="000B7A3E">
        <w:rPr>
          <w:rFonts w:ascii="Arial" w:eastAsia="Times New Roman" w:hAnsi="Arial"/>
          <w:kern w:val="0"/>
          <w:sz w:val="28"/>
          <w:szCs w:val="28"/>
          <w:lang w:eastAsia="en-IN"/>
          <w14:ligatures w14:val="none"/>
        </w:rPr>
        <w:t>and territories across the world. As of end-August 2020, around 25 million confirmed cases and 840</w:t>
      </w:r>
    </w:p>
    <w:p w:rsidR="000B7A3E" w:rsidRPr="000B7A3E"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sidRPr="000B7A3E">
        <w:rPr>
          <w:rFonts w:ascii="Arial" w:eastAsia="Times New Roman" w:hAnsi="Arial"/>
          <w:kern w:val="0"/>
          <w:sz w:val="28"/>
          <w:szCs w:val="28"/>
          <w:lang w:eastAsia="en-IN"/>
          <w14:ligatures w14:val="none"/>
        </w:rPr>
        <w:t>thousand deaths had been reported worldwide, with G20 economies accou</w:t>
      </w:r>
      <w:r w:rsidR="000539AA">
        <w:rPr>
          <w:rFonts w:ascii="Arial" w:eastAsia="Times New Roman" w:hAnsi="Arial"/>
          <w:kern w:val="0"/>
          <w:sz w:val="28"/>
          <w:szCs w:val="28"/>
          <w:lang w:eastAsia="en-IN"/>
          <w14:ligatures w14:val="none"/>
        </w:rPr>
        <w:t xml:space="preserve">nting for 77% of all cases and </w:t>
      </w:r>
      <w:r w:rsidRPr="000B7A3E">
        <w:rPr>
          <w:rFonts w:ascii="Arial" w:eastAsia="Times New Roman" w:hAnsi="Arial"/>
          <w:kern w:val="0"/>
          <w:sz w:val="28"/>
          <w:szCs w:val="28"/>
          <w:lang w:eastAsia="en-IN"/>
          <w14:ligatures w14:val="none"/>
        </w:rPr>
        <w:t xml:space="preserve">82% of all deaths. The daily number of newly confirmed cases peaked in many G20 countries in April, but </w:t>
      </w:r>
    </w:p>
    <w:p w:rsidR="000B7A3E"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sidRPr="000B7A3E">
        <w:rPr>
          <w:rFonts w:ascii="Arial" w:eastAsia="Times New Roman" w:hAnsi="Arial"/>
          <w:kern w:val="0"/>
          <w:sz w:val="28"/>
          <w:szCs w:val="28"/>
          <w:lang w:eastAsia="en-IN"/>
          <w14:ligatures w14:val="none"/>
        </w:rPr>
        <w:t xml:space="preserve">was still rising rapidly in India, South Africa and the Latin American G20 </w:t>
      </w:r>
      <w:r w:rsidR="000539AA">
        <w:rPr>
          <w:rFonts w:ascii="Arial" w:eastAsia="Times New Roman" w:hAnsi="Arial"/>
          <w:kern w:val="0"/>
          <w:sz w:val="28"/>
          <w:szCs w:val="28"/>
          <w:lang w:eastAsia="en-IN"/>
          <w14:ligatures w14:val="none"/>
        </w:rPr>
        <w:t xml:space="preserve">economies, and a resurgence of </w:t>
      </w:r>
      <w:r w:rsidRPr="000B7A3E">
        <w:rPr>
          <w:rFonts w:ascii="Arial" w:eastAsia="Times New Roman" w:hAnsi="Arial"/>
          <w:kern w:val="0"/>
          <w:sz w:val="28"/>
          <w:szCs w:val="28"/>
          <w:lang w:eastAsia="en-IN"/>
          <w14:ligatures w14:val="none"/>
        </w:rPr>
        <w:t>new cases was reported in July in several countries, mos</w:t>
      </w:r>
      <w:r w:rsidR="000539AA">
        <w:rPr>
          <w:rFonts w:ascii="Arial" w:eastAsia="Times New Roman" w:hAnsi="Arial"/>
          <w:kern w:val="0"/>
          <w:sz w:val="28"/>
          <w:szCs w:val="28"/>
          <w:lang w:eastAsia="en-IN"/>
          <w14:ligatures w14:val="none"/>
        </w:rPr>
        <w:t>t notably in the United States.</w:t>
      </w:r>
      <w:r w:rsidRPr="000B7A3E">
        <w:rPr>
          <w:rFonts w:ascii="Arial" w:eastAsia="Times New Roman" w:hAnsi="Arial"/>
          <w:kern w:val="0"/>
          <w:sz w:val="28"/>
          <w:szCs w:val="28"/>
          <w:lang w:eastAsia="en-IN"/>
          <w14:ligatures w14:val="none"/>
        </w:rPr>
        <w:t>Timing and extent of health containment measures and their impact on mobility</w:t>
      </w:r>
      <w:r w:rsidR="000539AA">
        <w:rPr>
          <w:rFonts w:ascii="Arial" w:eastAsia="Times New Roman" w:hAnsi="Arial"/>
          <w:kern w:val="0"/>
          <w:sz w:val="28"/>
          <w:szCs w:val="28"/>
          <w:lang w:eastAsia="en-IN"/>
          <w14:ligatures w14:val="none"/>
        </w:rPr>
        <w:t>.</w:t>
      </w:r>
    </w:p>
    <w:p w:rsidR="000539AA" w:rsidRPr="000B7A3E" w:rsidRDefault="000539AA"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0539AA" w:rsidRDefault="000539AA"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Pr>
          <w:rFonts w:ascii="Arial" w:eastAsia="Times New Roman" w:hAnsi="Arial"/>
          <w:kern w:val="0"/>
          <w:sz w:val="28"/>
          <w:szCs w:val="28"/>
          <w:lang w:eastAsia="en-IN"/>
          <w14:ligatures w14:val="none"/>
        </w:rPr>
        <w:t xml:space="preserve">               </w:t>
      </w:r>
      <w:r w:rsidR="000B7A3E" w:rsidRPr="000B7A3E">
        <w:rPr>
          <w:rFonts w:ascii="Arial" w:eastAsia="Times New Roman" w:hAnsi="Arial"/>
          <w:kern w:val="0"/>
          <w:sz w:val="28"/>
          <w:szCs w:val="28"/>
          <w:lang w:eastAsia="en-IN"/>
          <w14:ligatures w14:val="none"/>
        </w:rPr>
        <w:t xml:space="preserve">Even prior to the declaration of a pandemic by the World Health </w:t>
      </w:r>
      <w:r>
        <w:rPr>
          <w:rFonts w:ascii="Arial" w:eastAsia="Times New Roman" w:hAnsi="Arial"/>
          <w:kern w:val="0"/>
          <w:sz w:val="28"/>
          <w:szCs w:val="28"/>
          <w:lang w:eastAsia="en-IN"/>
          <w14:ligatures w14:val="none"/>
        </w:rPr>
        <w:t xml:space="preserve">Organization (WHO) on 11 March </w:t>
      </w:r>
      <w:r w:rsidR="000B7A3E" w:rsidRPr="000B7A3E">
        <w:rPr>
          <w:rFonts w:ascii="Arial" w:eastAsia="Times New Roman" w:hAnsi="Arial"/>
          <w:kern w:val="0"/>
          <w:sz w:val="28"/>
          <w:szCs w:val="28"/>
          <w:lang w:eastAsia="en-IN"/>
          <w14:ligatures w14:val="none"/>
        </w:rPr>
        <w:t>2020, countries around the world started to put in place an un</w:t>
      </w:r>
      <w:r>
        <w:rPr>
          <w:rFonts w:ascii="Arial" w:eastAsia="Times New Roman" w:hAnsi="Arial"/>
          <w:kern w:val="0"/>
          <w:sz w:val="28"/>
          <w:szCs w:val="28"/>
          <w:lang w:eastAsia="en-IN"/>
          <w14:ligatures w14:val="none"/>
        </w:rPr>
        <w:t xml:space="preserve">precedented set of containment </w:t>
      </w:r>
      <w:r w:rsidR="000B7A3E" w:rsidRPr="000B7A3E">
        <w:rPr>
          <w:rFonts w:ascii="Arial" w:eastAsia="Times New Roman" w:hAnsi="Arial"/>
          <w:kern w:val="0"/>
          <w:sz w:val="28"/>
          <w:szCs w:val="28"/>
          <w:lang w:eastAsia="en-IN"/>
          <w14:ligatures w14:val="none"/>
        </w:rPr>
        <w:t>measures in order to “flatten the curve” of COVID-19 infections. This w</w:t>
      </w:r>
      <w:r>
        <w:rPr>
          <w:rFonts w:ascii="Arial" w:eastAsia="Times New Roman" w:hAnsi="Arial"/>
          <w:kern w:val="0"/>
          <w:sz w:val="28"/>
          <w:szCs w:val="28"/>
          <w:lang w:eastAsia="en-IN"/>
          <w14:ligatures w14:val="none"/>
        </w:rPr>
        <w:t xml:space="preserve">as done to avoid a collapse of </w:t>
      </w:r>
      <w:r w:rsidR="000B7A3E" w:rsidRPr="000B7A3E">
        <w:rPr>
          <w:rFonts w:ascii="Arial" w:eastAsia="Times New Roman" w:hAnsi="Arial"/>
          <w:kern w:val="0"/>
          <w:sz w:val="28"/>
          <w:szCs w:val="28"/>
          <w:lang w:eastAsia="en-IN"/>
          <w14:ligatures w14:val="none"/>
        </w:rPr>
        <w:t xml:space="preserve">the health care systems and ultimately contain the number of fatalities. </w:t>
      </w:r>
    </w:p>
    <w:p w:rsidR="000B7A3E" w:rsidRPr="000B7A3E" w:rsidRDefault="000539AA"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Pr>
          <w:rFonts w:ascii="Arial" w:eastAsia="Times New Roman" w:hAnsi="Arial"/>
          <w:kern w:val="0"/>
          <w:sz w:val="28"/>
          <w:szCs w:val="28"/>
          <w:lang w:eastAsia="en-IN"/>
          <w14:ligatures w14:val="none"/>
        </w:rPr>
        <w:t xml:space="preserve">           </w:t>
      </w:r>
      <w:r w:rsidR="000B7A3E" w:rsidRPr="000B7A3E">
        <w:rPr>
          <w:rFonts w:ascii="Arial" w:eastAsia="Times New Roman" w:hAnsi="Arial"/>
          <w:kern w:val="0"/>
          <w:sz w:val="28"/>
          <w:szCs w:val="28"/>
          <w:lang w:eastAsia="en-IN"/>
          <w14:ligatures w14:val="none"/>
        </w:rPr>
        <w:t>T</w:t>
      </w:r>
      <w:r>
        <w:rPr>
          <w:rFonts w:ascii="Arial" w:eastAsia="Times New Roman" w:hAnsi="Arial"/>
          <w:kern w:val="0"/>
          <w:sz w:val="28"/>
          <w:szCs w:val="28"/>
          <w:lang w:eastAsia="en-IN"/>
          <w14:ligatures w14:val="none"/>
        </w:rPr>
        <w:t xml:space="preserve">he timing, nature and scope of </w:t>
      </w:r>
      <w:r w:rsidR="000B7A3E" w:rsidRPr="000B7A3E">
        <w:rPr>
          <w:rFonts w:ascii="Arial" w:eastAsia="Times New Roman" w:hAnsi="Arial"/>
          <w:kern w:val="0"/>
          <w:sz w:val="28"/>
          <w:szCs w:val="28"/>
          <w:lang w:eastAsia="en-IN"/>
          <w14:ligatures w14:val="none"/>
        </w:rPr>
        <w:t xml:space="preserve">containment and mitigation strategies varied substantially across G20 countries (Figure </w:t>
      </w:r>
      <w:r>
        <w:rPr>
          <w:rFonts w:ascii="Arial" w:eastAsia="Times New Roman" w:hAnsi="Arial"/>
          <w:kern w:val="0"/>
          <w:sz w:val="28"/>
          <w:szCs w:val="28"/>
          <w:lang w:eastAsia="en-IN"/>
          <w14:ligatures w14:val="none"/>
        </w:rPr>
        <w:t xml:space="preserve">1), ranging from </w:t>
      </w:r>
      <w:r w:rsidR="000B7A3E" w:rsidRPr="000B7A3E">
        <w:rPr>
          <w:rFonts w:ascii="Arial" w:eastAsia="Times New Roman" w:hAnsi="Arial"/>
          <w:kern w:val="0"/>
          <w:sz w:val="28"/>
          <w:szCs w:val="28"/>
          <w:lang w:eastAsia="en-IN"/>
          <w14:ligatures w14:val="none"/>
        </w:rPr>
        <w:t>initial efforts to detect and trace infected individual’s contact with other p</w:t>
      </w:r>
      <w:r>
        <w:rPr>
          <w:rFonts w:ascii="Arial" w:eastAsia="Times New Roman" w:hAnsi="Arial"/>
          <w:kern w:val="0"/>
          <w:sz w:val="28"/>
          <w:szCs w:val="28"/>
          <w:lang w:eastAsia="en-IN"/>
          <w14:ligatures w14:val="none"/>
        </w:rPr>
        <w:t>eople through to severe social-</w:t>
      </w:r>
      <w:r w:rsidR="000B7A3E" w:rsidRPr="000B7A3E">
        <w:rPr>
          <w:rFonts w:ascii="Arial" w:eastAsia="Times New Roman" w:hAnsi="Arial"/>
          <w:kern w:val="0"/>
          <w:sz w:val="28"/>
          <w:szCs w:val="28"/>
          <w:lang w:eastAsia="en-IN"/>
          <w14:ligatures w14:val="none"/>
        </w:rPr>
        <w:t xml:space="preserve">distancing measures, including national social and economic “lock-downs” (Hale, 2020[1]). In response to </w:t>
      </w:r>
    </w:p>
    <w:p w:rsidR="000539AA"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sidRPr="000B7A3E">
        <w:rPr>
          <w:rFonts w:ascii="Arial" w:eastAsia="Times New Roman" w:hAnsi="Arial"/>
          <w:kern w:val="0"/>
          <w:sz w:val="28"/>
          <w:szCs w:val="28"/>
          <w:lang w:eastAsia="en-IN"/>
          <w14:ligatures w14:val="none"/>
        </w:rPr>
        <w:t>the early outbreak of the coronavirus on its territory, China was the fir</w:t>
      </w:r>
      <w:r w:rsidR="000539AA">
        <w:rPr>
          <w:rFonts w:ascii="Arial" w:eastAsia="Times New Roman" w:hAnsi="Arial"/>
          <w:kern w:val="0"/>
          <w:sz w:val="28"/>
          <w:szCs w:val="28"/>
          <w:lang w:eastAsia="en-IN"/>
          <w14:ligatures w14:val="none"/>
        </w:rPr>
        <w:t xml:space="preserve">st country to introduce strict </w:t>
      </w:r>
      <w:r w:rsidRPr="000B7A3E">
        <w:rPr>
          <w:rFonts w:ascii="Arial" w:eastAsia="Times New Roman" w:hAnsi="Arial"/>
          <w:kern w:val="0"/>
          <w:sz w:val="28"/>
          <w:szCs w:val="28"/>
          <w:lang w:eastAsia="en-IN"/>
          <w14:ligatures w14:val="none"/>
        </w:rPr>
        <w:t>containment measures in early February.</w:t>
      </w:r>
    </w:p>
    <w:p w:rsidR="000B7A3E" w:rsidRPr="000B7A3E"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sidRPr="000B7A3E">
        <w:rPr>
          <w:rFonts w:ascii="Arial" w:eastAsia="Times New Roman" w:hAnsi="Arial"/>
          <w:kern w:val="0"/>
          <w:sz w:val="28"/>
          <w:szCs w:val="28"/>
          <w:lang w:eastAsia="en-IN"/>
          <w14:ligatures w14:val="none"/>
        </w:rPr>
        <w:t xml:space="preserve"> </w:t>
      </w:r>
      <w:r w:rsidR="000539AA">
        <w:rPr>
          <w:rFonts w:ascii="Arial" w:eastAsia="Times New Roman" w:hAnsi="Arial"/>
          <w:kern w:val="0"/>
          <w:sz w:val="28"/>
          <w:szCs w:val="28"/>
          <w:lang w:eastAsia="en-IN"/>
          <w14:ligatures w14:val="none"/>
        </w:rPr>
        <w:t xml:space="preserve">             </w:t>
      </w:r>
      <w:r w:rsidRPr="000B7A3E">
        <w:rPr>
          <w:rFonts w:ascii="Arial" w:eastAsia="Times New Roman" w:hAnsi="Arial"/>
          <w:kern w:val="0"/>
          <w:sz w:val="28"/>
          <w:szCs w:val="28"/>
          <w:lang w:eastAsia="en-IN"/>
          <w14:ligatures w14:val="none"/>
        </w:rPr>
        <w:t xml:space="preserve">By early April, similar measures had been introduced in the rest </w:t>
      </w:r>
    </w:p>
    <w:p w:rsidR="000539AA"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sidRPr="000B7A3E">
        <w:rPr>
          <w:rFonts w:ascii="Arial" w:eastAsia="Times New Roman" w:hAnsi="Arial"/>
          <w:kern w:val="0"/>
          <w:sz w:val="28"/>
          <w:szCs w:val="28"/>
          <w:lang w:eastAsia="en-IN"/>
          <w14:ligatures w14:val="none"/>
        </w:rPr>
        <w:t xml:space="preserve">of the G20, although with some differences in timing and stringency. </w:t>
      </w:r>
    </w:p>
    <w:p w:rsidR="000539AA" w:rsidRDefault="000539AA"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0B7A3E" w:rsidRPr="000B7A3E"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sidRPr="000B7A3E">
        <w:rPr>
          <w:rFonts w:ascii="Arial" w:eastAsia="Times New Roman" w:hAnsi="Arial"/>
          <w:kern w:val="0"/>
          <w:sz w:val="28"/>
          <w:szCs w:val="28"/>
          <w:lang w:eastAsia="en-IN"/>
          <w14:ligatures w14:val="none"/>
        </w:rPr>
        <w:t>Thes</w:t>
      </w:r>
      <w:r w:rsidR="000539AA">
        <w:rPr>
          <w:rFonts w:ascii="Arial" w:eastAsia="Times New Roman" w:hAnsi="Arial"/>
          <w:kern w:val="0"/>
          <w:sz w:val="28"/>
          <w:szCs w:val="28"/>
          <w:lang w:eastAsia="en-IN"/>
          <w14:ligatures w14:val="none"/>
        </w:rPr>
        <w:t xml:space="preserve">e measures included restricted </w:t>
      </w:r>
      <w:r w:rsidRPr="000B7A3E">
        <w:rPr>
          <w:rFonts w:ascii="Arial" w:eastAsia="Times New Roman" w:hAnsi="Arial"/>
          <w:kern w:val="0"/>
          <w:sz w:val="28"/>
          <w:szCs w:val="28"/>
          <w:lang w:eastAsia="en-IN"/>
          <w14:ligatures w14:val="none"/>
        </w:rPr>
        <w:t xml:space="preserve">movement within countries and across borders and the implementation of social distancing measures, </w:t>
      </w:r>
    </w:p>
    <w:p w:rsidR="000B7A3E" w:rsidRPr="000B7A3E"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sidRPr="000B7A3E">
        <w:rPr>
          <w:rFonts w:ascii="Arial" w:eastAsia="Times New Roman" w:hAnsi="Arial"/>
          <w:kern w:val="0"/>
          <w:sz w:val="28"/>
          <w:szCs w:val="28"/>
          <w:lang w:eastAsia="en-IN"/>
          <w14:ligatures w14:val="none"/>
        </w:rPr>
        <w:t>such as school closures, closure of non-essential businesses, and limits on the size of public gatherings.</w:t>
      </w:r>
    </w:p>
    <w:p w:rsidR="000539AA" w:rsidRDefault="000539AA"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0539AA" w:rsidRDefault="000539AA"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Pr>
          <w:rFonts w:ascii="Arial" w:eastAsia="Times New Roman" w:hAnsi="Arial"/>
          <w:kern w:val="0"/>
          <w:sz w:val="28"/>
          <w:szCs w:val="28"/>
          <w:lang w:eastAsia="en-IN"/>
          <w14:ligatures w14:val="none"/>
        </w:rPr>
        <w:t xml:space="preserve">                   </w:t>
      </w:r>
    </w:p>
    <w:p w:rsidR="000539AA" w:rsidRDefault="000539AA"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0539AA" w:rsidRDefault="000539AA"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0539AA" w:rsidRDefault="000539AA"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Pr>
          <w:rFonts w:ascii="Arial" w:eastAsia="Times New Roman" w:hAnsi="Arial"/>
          <w:kern w:val="0"/>
          <w:sz w:val="28"/>
          <w:szCs w:val="28"/>
          <w:lang w:eastAsia="en-IN"/>
          <w14:ligatures w14:val="none"/>
        </w:rPr>
        <w:lastRenderedPageBreak/>
        <w:t xml:space="preserve">                                    </w:t>
      </w:r>
      <w:r w:rsidR="000B7A3E" w:rsidRPr="000B7A3E">
        <w:rPr>
          <w:rFonts w:ascii="Arial" w:eastAsia="Times New Roman" w:hAnsi="Arial"/>
          <w:kern w:val="0"/>
          <w:sz w:val="28"/>
          <w:szCs w:val="28"/>
          <w:lang w:eastAsia="en-IN"/>
          <w14:ligatures w14:val="none"/>
        </w:rPr>
        <w:t>Despite varied responses, the measures taken led to an economic shutdow</w:t>
      </w:r>
      <w:r>
        <w:rPr>
          <w:rFonts w:ascii="Arial" w:eastAsia="Times New Roman" w:hAnsi="Arial"/>
          <w:kern w:val="0"/>
          <w:sz w:val="28"/>
          <w:szCs w:val="28"/>
          <w:lang w:eastAsia="en-IN"/>
          <w14:ligatures w14:val="none"/>
        </w:rPr>
        <w:t xml:space="preserve">n in most countries on a scale </w:t>
      </w:r>
      <w:r w:rsidR="000B7A3E" w:rsidRPr="000B7A3E">
        <w:rPr>
          <w:rFonts w:ascii="Arial" w:eastAsia="Times New Roman" w:hAnsi="Arial"/>
          <w:kern w:val="0"/>
          <w:sz w:val="28"/>
          <w:szCs w:val="28"/>
          <w:lang w:eastAsia="en-IN"/>
          <w14:ligatures w14:val="none"/>
        </w:rPr>
        <w:t>not seen in peacetime si</w:t>
      </w:r>
      <w:r>
        <w:rPr>
          <w:rFonts w:ascii="Arial" w:eastAsia="Times New Roman" w:hAnsi="Arial"/>
          <w:kern w:val="0"/>
          <w:sz w:val="28"/>
          <w:szCs w:val="28"/>
          <w:lang w:eastAsia="en-IN"/>
          <w14:ligatures w14:val="none"/>
        </w:rPr>
        <w:t>nce the Great Depression.</w:t>
      </w:r>
    </w:p>
    <w:p w:rsidR="000539AA" w:rsidRDefault="000539AA"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0539AA" w:rsidRDefault="000539AA"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0B7A3E" w:rsidRPr="000B7A3E"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sidRPr="000B7A3E">
        <w:rPr>
          <w:rFonts w:ascii="Arial" w:eastAsia="Times New Roman" w:hAnsi="Arial"/>
          <w:kern w:val="0"/>
          <w:sz w:val="28"/>
          <w:szCs w:val="28"/>
          <w:lang w:eastAsia="en-IN"/>
          <w14:ligatures w14:val="none"/>
        </w:rPr>
        <w:t>1. G20 economies have differed in timing and strictness o</w:t>
      </w:r>
      <w:r w:rsidR="000539AA">
        <w:rPr>
          <w:rFonts w:ascii="Arial" w:eastAsia="Times New Roman" w:hAnsi="Arial"/>
          <w:kern w:val="0"/>
          <w:sz w:val="28"/>
          <w:szCs w:val="28"/>
          <w:lang w:eastAsia="en-IN"/>
          <w14:ligatures w14:val="none"/>
        </w:rPr>
        <w:t>f COVID-19 containment measures</w:t>
      </w:r>
      <w:r w:rsidRPr="000B7A3E">
        <w:rPr>
          <w:rFonts w:ascii="Arial" w:eastAsia="Times New Roman" w:hAnsi="Arial"/>
          <w:kern w:val="0"/>
          <w:sz w:val="28"/>
          <w:szCs w:val="28"/>
          <w:lang w:eastAsia="en-IN"/>
          <w14:ligatures w14:val="none"/>
        </w:rPr>
        <w:t>Index of stringency of containment and closure policies from 0 (no measures taken) to 100 (most stringent)</w:t>
      </w:r>
      <w:r w:rsidR="000539AA">
        <w:rPr>
          <w:rFonts w:ascii="Arial" w:eastAsia="Times New Roman" w:hAnsi="Arial"/>
          <w:kern w:val="0"/>
          <w:sz w:val="28"/>
          <w:szCs w:val="28"/>
          <w:lang w:eastAsia="en-IN"/>
          <w14:ligatures w14:val="none"/>
        </w:rPr>
        <w:t>.</w:t>
      </w:r>
    </w:p>
    <w:p w:rsidR="000539AA"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sidRPr="000B7A3E">
        <w:rPr>
          <w:rFonts w:ascii="Arial" w:eastAsia="Times New Roman" w:hAnsi="Arial"/>
          <w:kern w:val="0"/>
          <w:sz w:val="28"/>
          <w:szCs w:val="28"/>
          <w:lang w:eastAsia="en-IN"/>
          <w14:ligatures w14:val="none"/>
        </w:rPr>
        <w:t>Note: The stringency index of gover</w:t>
      </w:r>
      <w:r w:rsidR="000539AA">
        <w:rPr>
          <w:rFonts w:ascii="Arial" w:eastAsia="Times New Roman" w:hAnsi="Arial"/>
          <w:kern w:val="0"/>
          <w:sz w:val="28"/>
          <w:szCs w:val="28"/>
          <w:lang w:eastAsia="en-IN"/>
          <w14:ligatures w14:val="none"/>
        </w:rPr>
        <w:t xml:space="preserve">nment lockdown and other social </w:t>
      </w:r>
      <w:r w:rsidRPr="000B7A3E">
        <w:rPr>
          <w:rFonts w:ascii="Arial" w:eastAsia="Times New Roman" w:hAnsi="Arial"/>
          <w:kern w:val="0"/>
          <w:sz w:val="28"/>
          <w:szCs w:val="28"/>
          <w:lang w:eastAsia="en-IN"/>
          <w14:ligatures w14:val="none"/>
        </w:rPr>
        <w:t>distancing measures to contain t</w:t>
      </w:r>
      <w:r w:rsidR="000539AA">
        <w:rPr>
          <w:rFonts w:ascii="Arial" w:eastAsia="Times New Roman" w:hAnsi="Arial"/>
          <w:kern w:val="0"/>
          <w:sz w:val="28"/>
          <w:szCs w:val="28"/>
          <w:lang w:eastAsia="en-IN"/>
          <w14:ligatures w14:val="none"/>
        </w:rPr>
        <w:t xml:space="preserve">he spread of COVID-19 has been </w:t>
      </w:r>
      <w:r w:rsidRPr="000B7A3E">
        <w:rPr>
          <w:rFonts w:ascii="Arial" w:eastAsia="Times New Roman" w:hAnsi="Arial"/>
          <w:kern w:val="0"/>
          <w:sz w:val="28"/>
          <w:szCs w:val="28"/>
          <w:lang w:eastAsia="en-IN"/>
          <w14:ligatures w14:val="none"/>
        </w:rPr>
        <w:t xml:space="preserve">constructed as part of the Oxford COVID-19 Government Response Tracker project. </w:t>
      </w:r>
    </w:p>
    <w:p w:rsidR="000B7A3E" w:rsidRPr="000B7A3E" w:rsidRDefault="000539AA"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Pr>
          <w:rFonts w:ascii="Arial" w:eastAsia="Times New Roman" w:hAnsi="Arial"/>
          <w:kern w:val="0"/>
          <w:sz w:val="28"/>
          <w:szCs w:val="28"/>
          <w:lang w:eastAsia="en-IN"/>
          <w14:ligatures w14:val="none"/>
        </w:rPr>
        <w:t xml:space="preserve">                </w:t>
      </w:r>
      <w:r w:rsidR="000B7A3E" w:rsidRPr="000B7A3E">
        <w:rPr>
          <w:rFonts w:ascii="Arial" w:eastAsia="Times New Roman" w:hAnsi="Arial"/>
          <w:kern w:val="0"/>
          <w:sz w:val="28"/>
          <w:szCs w:val="28"/>
          <w:lang w:eastAsia="en-IN"/>
          <w14:ligatures w14:val="none"/>
        </w:rPr>
        <w:t xml:space="preserve">It is a weighted sum </w:t>
      </w:r>
      <w:r>
        <w:rPr>
          <w:rFonts w:ascii="Arial" w:eastAsia="Times New Roman" w:hAnsi="Arial"/>
          <w:kern w:val="0"/>
          <w:sz w:val="28"/>
          <w:szCs w:val="28"/>
          <w:lang w:eastAsia="en-IN"/>
          <w14:ligatures w14:val="none"/>
        </w:rPr>
        <w:t xml:space="preserve">of eight policy indicators for </w:t>
      </w:r>
      <w:r w:rsidR="000B7A3E" w:rsidRPr="000B7A3E">
        <w:rPr>
          <w:rFonts w:ascii="Arial" w:eastAsia="Times New Roman" w:hAnsi="Arial"/>
          <w:kern w:val="0"/>
          <w:sz w:val="28"/>
          <w:szCs w:val="28"/>
          <w:lang w:eastAsia="en-IN"/>
          <w14:ligatures w14:val="none"/>
        </w:rPr>
        <w:t>containment and closure policies, such as school closures and restrictions in movement. G20 economies are listed in order of the earliest dat</w:t>
      </w:r>
      <w:r>
        <w:rPr>
          <w:rFonts w:ascii="Arial" w:eastAsia="Times New Roman" w:hAnsi="Arial"/>
          <w:kern w:val="0"/>
          <w:sz w:val="28"/>
          <w:szCs w:val="28"/>
          <w:lang w:eastAsia="en-IN"/>
          <w14:ligatures w14:val="none"/>
        </w:rPr>
        <w:t xml:space="preserve">e </w:t>
      </w:r>
      <w:r w:rsidR="000B7A3E" w:rsidRPr="000B7A3E">
        <w:rPr>
          <w:rFonts w:ascii="Arial" w:eastAsia="Times New Roman" w:hAnsi="Arial"/>
          <w:kern w:val="0"/>
          <w:sz w:val="28"/>
          <w:szCs w:val="28"/>
          <w:lang w:eastAsia="en-IN"/>
          <w14:ligatures w14:val="none"/>
        </w:rPr>
        <w:t xml:space="preserve">in which the stringency index rose above 25. The index for the EU has been constructed by weighting the index </w:t>
      </w:r>
      <w:r>
        <w:rPr>
          <w:rFonts w:ascii="Arial" w:eastAsia="Times New Roman" w:hAnsi="Arial"/>
          <w:kern w:val="0"/>
          <w:sz w:val="28"/>
          <w:szCs w:val="28"/>
          <w:lang w:eastAsia="en-IN"/>
          <w14:ligatures w14:val="none"/>
        </w:rPr>
        <w:t xml:space="preserve">for each individual EU country </w:t>
      </w:r>
      <w:r w:rsidR="000B7A3E" w:rsidRPr="000B7A3E">
        <w:rPr>
          <w:rFonts w:ascii="Arial" w:eastAsia="Times New Roman" w:hAnsi="Arial"/>
          <w:kern w:val="0"/>
          <w:sz w:val="28"/>
          <w:szCs w:val="28"/>
          <w:lang w:eastAsia="en-IN"/>
          <w14:ligatures w14:val="none"/>
        </w:rPr>
        <w:t>by its share of the total EU population as at 1 January 2020 (excludes Malta).</w:t>
      </w:r>
    </w:p>
    <w:p w:rsidR="000B7A3E" w:rsidRPr="000B7A3E"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sidRPr="000B7A3E">
        <w:rPr>
          <w:rFonts w:ascii="Arial" w:eastAsia="Times New Roman" w:hAnsi="Arial"/>
          <w:kern w:val="0"/>
          <w:sz w:val="28"/>
          <w:szCs w:val="28"/>
          <w:lang w:eastAsia="en-IN"/>
          <w14:ligatures w14:val="none"/>
        </w:rPr>
        <w:t>Source: (Hale, 2020[1]), data accessed 28 August 2020.</w:t>
      </w:r>
    </w:p>
    <w:p w:rsidR="000B7A3E" w:rsidRPr="000B7A3E" w:rsidRDefault="000539AA"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Pr>
          <w:rFonts w:ascii="Arial" w:eastAsia="Times New Roman" w:hAnsi="Arial"/>
          <w:kern w:val="0"/>
          <w:sz w:val="28"/>
          <w:szCs w:val="28"/>
          <w:lang w:eastAsia="en-IN"/>
          <w14:ligatures w14:val="none"/>
        </w:rPr>
        <w:t xml:space="preserve">                                  </w:t>
      </w:r>
      <w:r w:rsidR="000B7A3E" w:rsidRPr="000B7A3E">
        <w:rPr>
          <w:rFonts w:ascii="Arial" w:eastAsia="Times New Roman" w:hAnsi="Arial"/>
          <w:kern w:val="0"/>
          <w:sz w:val="28"/>
          <w:szCs w:val="28"/>
          <w:lang w:eastAsia="en-IN"/>
          <w14:ligatures w14:val="none"/>
        </w:rPr>
        <w:t>These containment and mitigation measures, as well as pu</w:t>
      </w:r>
      <w:r>
        <w:rPr>
          <w:rFonts w:ascii="Arial" w:eastAsia="Times New Roman" w:hAnsi="Arial"/>
          <w:kern w:val="0"/>
          <w:sz w:val="28"/>
          <w:szCs w:val="28"/>
          <w:lang w:eastAsia="en-IN"/>
          <w14:ligatures w14:val="none"/>
        </w:rPr>
        <w:t xml:space="preserve">blic awareness and the fear of </w:t>
      </w:r>
      <w:r w:rsidR="000B7A3E" w:rsidRPr="000B7A3E">
        <w:rPr>
          <w:rFonts w:ascii="Arial" w:eastAsia="Times New Roman" w:hAnsi="Arial"/>
          <w:kern w:val="0"/>
          <w:sz w:val="28"/>
          <w:szCs w:val="28"/>
          <w:lang w:eastAsia="en-IN"/>
          <w14:ligatures w14:val="none"/>
        </w:rPr>
        <w:t>contracting COVID-19, had an immediate dampening effect o</w:t>
      </w:r>
      <w:r>
        <w:rPr>
          <w:rFonts w:ascii="Arial" w:eastAsia="Times New Roman" w:hAnsi="Arial"/>
          <w:kern w:val="0"/>
          <w:sz w:val="28"/>
          <w:szCs w:val="28"/>
          <w:lang w:eastAsia="en-IN"/>
          <w14:ligatures w14:val="none"/>
        </w:rPr>
        <w:t xml:space="preserve">n mobility patterns in all G20 </w:t>
      </w:r>
      <w:r w:rsidR="000B7A3E" w:rsidRPr="000B7A3E">
        <w:rPr>
          <w:rFonts w:ascii="Arial" w:eastAsia="Times New Roman" w:hAnsi="Arial"/>
          <w:kern w:val="0"/>
          <w:sz w:val="28"/>
          <w:szCs w:val="28"/>
          <w:lang w:eastAsia="en-IN"/>
          <w14:ligatures w14:val="none"/>
        </w:rPr>
        <w:t>countries. Based on smartphone locations, movements to p</w:t>
      </w:r>
      <w:r>
        <w:rPr>
          <w:rFonts w:ascii="Arial" w:eastAsia="Times New Roman" w:hAnsi="Arial"/>
          <w:kern w:val="0"/>
          <w:sz w:val="28"/>
          <w:szCs w:val="28"/>
          <w:lang w:eastAsia="en-IN"/>
          <w14:ligatures w14:val="none"/>
        </w:rPr>
        <w:t xml:space="preserve">laces of work decreased markedly as of early </w:t>
      </w:r>
      <w:r w:rsidR="000B7A3E" w:rsidRPr="000B7A3E">
        <w:rPr>
          <w:rFonts w:ascii="Arial" w:eastAsia="Times New Roman" w:hAnsi="Arial"/>
          <w:kern w:val="0"/>
          <w:sz w:val="28"/>
          <w:szCs w:val="28"/>
          <w:lang w:eastAsia="en-IN"/>
          <w14:ligatures w14:val="none"/>
        </w:rPr>
        <w:t xml:space="preserve">March, falling by between 30 and 70 per cent to a low point in mid-April </w:t>
      </w:r>
      <w:r>
        <w:rPr>
          <w:rFonts w:ascii="Arial" w:eastAsia="Times New Roman" w:hAnsi="Arial"/>
          <w:kern w:val="0"/>
          <w:sz w:val="28"/>
          <w:szCs w:val="28"/>
          <w:lang w:eastAsia="en-IN"/>
          <w14:ligatures w14:val="none"/>
        </w:rPr>
        <w:t>.</w:t>
      </w:r>
    </w:p>
    <w:p w:rsidR="000B7A3E" w:rsidRPr="000B7A3E" w:rsidRDefault="000539AA"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Pr>
          <w:rFonts w:ascii="Arial" w:eastAsia="Times New Roman" w:hAnsi="Arial"/>
          <w:kern w:val="0"/>
          <w:sz w:val="28"/>
          <w:szCs w:val="28"/>
          <w:lang w:eastAsia="en-IN"/>
          <w14:ligatures w14:val="none"/>
        </w:rPr>
        <w:t xml:space="preserve">                 </w:t>
      </w:r>
      <w:r w:rsidRPr="000539AA">
        <w:rPr>
          <w:rFonts w:ascii="Arial" w:eastAsia="Times New Roman" w:hAnsi="Arial"/>
          <w:kern w:val="0"/>
          <w:sz w:val="28"/>
          <w:szCs w:val="28"/>
          <w:lang w:eastAsia="en-IN"/>
          <w14:ligatures w14:val="none"/>
        </w:rPr>
        <w:t xml:space="preserve">A pickup in mobility </w:t>
      </w:r>
      <w:r w:rsidR="000B7A3E" w:rsidRPr="000539AA">
        <w:rPr>
          <w:rFonts w:ascii="Arial" w:eastAsia="Times New Roman" w:hAnsi="Arial"/>
          <w:kern w:val="0"/>
          <w:sz w:val="28"/>
          <w:szCs w:val="28"/>
          <w:lang w:eastAsia="en-IN"/>
          <w14:ligatures w14:val="none"/>
        </w:rPr>
        <w:t xml:space="preserve">subsequently occurred as lockdowns and other containment measures began to be eased in most </w:t>
      </w:r>
      <w:r w:rsidR="000B7A3E" w:rsidRPr="000B7A3E">
        <w:rPr>
          <w:rFonts w:ascii="Arial" w:eastAsia="Times New Roman" w:hAnsi="Arial"/>
          <w:kern w:val="0"/>
          <w:sz w:val="28"/>
          <w:szCs w:val="28"/>
          <w:lang w:eastAsia="en-IN"/>
          <w14:ligatures w14:val="none"/>
        </w:rPr>
        <w:t>countries. Nevertheless, even by late June, fewer people were working at the</w:t>
      </w:r>
      <w:r>
        <w:rPr>
          <w:rFonts w:ascii="Arial" w:eastAsia="Times New Roman" w:hAnsi="Arial"/>
          <w:kern w:val="0"/>
          <w:sz w:val="28"/>
          <w:szCs w:val="28"/>
          <w:lang w:eastAsia="en-IN"/>
          <w14:ligatures w14:val="none"/>
        </w:rPr>
        <w:t xml:space="preserve">ir usual workplaces than prior </w:t>
      </w:r>
      <w:r w:rsidR="000B7A3E" w:rsidRPr="000B7A3E">
        <w:rPr>
          <w:rFonts w:ascii="Arial" w:eastAsia="Times New Roman" w:hAnsi="Arial"/>
          <w:kern w:val="0"/>
          <w:sz w:val="28"/>
          <w:szCs w:val="28"/>
          <w:lang w:eastAsia="en-IN"/>
          <w14:ligatures w14:val="none"/>
        </w:rPr>
        <w:t xml:space="preserve">to the pandemic, with mobility still down between 10 to 40 percent. Korea </w:t>
      </w:r>
      <w:r>
        <w:rPr>
          <w:rFonts w:ascii="Arial" w:eastAsia="Times New Roman" w:hAnsi="Arial"/>
          <w:kern w:val="0"/>
          <w:sz w:val="28"/>
          <w:szCs w:val="28"/>
          <w:lang w:eastAsia="en-IN"/>
          <w14:ligatures w14:val="none"/>
        </w:rPr>
        <w:t xml:space="preserve">stands out with a much smaller </w:t>
      </w:r>
      <w:r w:rsidR="000B7A3E" w:rsidRPr="000B7A3E">
        <w:rPr>
          <w:rFonts w:ascii="Arial" w:eastAsia="Times New Roman" w:hAnsi="Arial"/>
          <w:kern w:val="0"/>
          <w:sz w:val="28"/>
          <w:szCs w:val="28"/>
          <w:lang w:eastAsia="en-IN"/>
          <w14:ligatures w14:val="none"/>
        </w:rPr>
        <w:t>recorded fall in mobility.</w:t>
      </w:r>
    </w:p>
    <w:p w:rsidR="000B7A3E" w:rsidRPr="000B7A3E" w:rsidRDefault="00B25379"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Pr>
          <w:rFonts w:ascii="Arial" w:eastAsia="Times New Roman" w:hAnsi="Arial"/>
          <w:kern w:val="0"/>
          <w:sz w:val="28"/>
          <w:szCs w:val="28"/>
          <w:lang w:eastAsia="en-IN"/>
          <w14:ligatures w14:val="none"/>
        </w:rPr>
        <w:t xml:space="preserve">                          </w:t>
      </w:r>
      <w:r w:rsidR="000B7A3E" w:rsidRPr="000B7A3E">
        <w:rPr>
          <w:rFonts w:ascii="Arial" w:eastAsia="Times New Roman" w:hAnsi="Arial"/>
          <w:kern w:val="0"/>
          <w:sz w:val="28"/>
          <w:szCs w:val="28"/>
          <w:lang w:eastAsia="en-IN"/>
          <w14:ligatures w14:val="none"/>
        </w:rPr>
        <w:t>This may reflect the relatively early implemen</w:t>
      </w:r>
      <w:r>
        <w:rPr>
          <w:rFonts w:ascii="Arial" w:eastAsia="Times New Roman" w:hAnsi="Arial"/>
          <w:kern w:val="0"/>
          <w:sz w:val="28"/>
          <w:szCs w:val="28"/>
          <w:lang w:eastAsia="en-IN"/>
          <w14:ligatures w14:val="none"/>
        </w:rPr>
        <w:t>tation of containment measures,</w:t>
      </w:r>
      <w:r w:rsidR="000B7A3E" w:rsidRPr="000B7A3E">
        <w:rPr>
          <w:rFonts w:ascii="Arial" w:eastAsia="Times New Roman" w:hAnsi="Arial"/>
          <w:kern w:val="0"/>
          <w:sz w:val="28"/>
          <w:szCs w:val="28"/>
          <w:lang w:eastAsia="en-IN"/>
          <w14:ligatures w14:val="none"/>
        </w:rPr>
        <w:t xml:space="preserve"> Similar data for China based on the internet service Baidu also point to a substantial decline in mobility but starting </w:t>
      </w:r>
    </w:p>
    <w:p w:rsidR="000B7A3E" w:rsidRPr="000B7A3E"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sidRPr="000B7A3E">
        <w:rPr>
          <w:rFonts w:ascii="Arial" w:eastAsia="Times New Roman" w:hAnsi="Arial"/>
          <w:kern w:val="0"/>
          <w:sz w:val="28"/>
          <w:szCs w:val="28"/>
          <w:lang w:eastAsia="en-IN"/>
          <w14:ligatures w14:val="none"/>
        </w:rPr>
        <w:t xml:space="preserve">earlier in late January as containment measures were announced and implemented. </w:t>
      </w:r>
    </w:p>
    <w:p w:rsidR="000B7A3E" w:rsidRPr="000B7A3E" w:rsidRDefault="00B25379"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Pr>
          <w:rFonts w:ascii="Arial" w:eastAsia="Times New Roman" w:hAnsi="Arial"/>
          <w:kern w:val="0"/>
          <w:sz w:val="28"/>
          <w:szCs w:val="28"/>
          <w:lang w:eastAsia="en-IN"/>
          <w14:ligatures w14:val="none"/>
        </w:rPr>
        <w:t xml:space="preserve">                                    </w:t>
      </w:r>
      <w:r w:rsidR="000B7A3E" w:rsidRPr="000B7A3E">
        <w:rPr>
          <w:rFonts w:ascii="Arial" w:eastAsia="Times New Roman" w:hAnsi="Arial"/>
          <w:kern w:val="0"/>
          <w:sz w:val="28"/>
          <w:szCs w:val="28"/>
          <w:lang w:eastAsia="en-IN"/>
          <w14:ligatures w14:val="none"/>
        </w:rPr>
        <w:t>Other data on mobility from Apple, based on the frequency of asking for directions whil</w:t>
      </w:r>
      <w:r>
        <w:rPr>
          <w:rFonts w:ascii="Arial" w:eastAsia="Times New Roman" w:hAnsi="Arial"/>
          <w:kern w:val="0"/>
          <w:sz w:val="28"/>
          <w:szCs w:val="28"/>
          <w:lang w:eastAsia="en-IN"/>
          <w14:ligatures w14:val="none"/>
        </w:rPr>
        <w:t xml:space="preserve">e driving, point to a somewhat </w:t>
      </w:r>
      <w:r w:rsidR="000B7A3E" w:rsidRPr="000B7A3E">
        <w:rPr>
          <w:rFonts w:ascii="Arial" w:eastAsia="Times New Roman" w:hAnsi="Arial"/>
          <w:kern w:val="0"/>
          <w:sz w:val="28"/>
          <w:szCs w:val="28"/>
          <w:lang w:eastAsia="en-IN"/>
          <w14:ligatures w14:val="none"/>
        </w:rPr>
        <w:t xml:space="preserve">larger decline in mobility in Korea. This began earlier than in most other G20 countries </w:t>
      </w:r>
      <w:r>
        <w:rPr>
          <w:rFonts w:ascii="Arial" w:eastAsia="Times New Roman" w:hAnsi="Arial"/>
          <w:kern w:val="0"/>
          <w:sz w:val="28"/>
          <w:szCs w:val="28"/>
          <w:lang w:eastAsia="en-IN"/>
          <w14:ligatures w14:val="none"/>
        </w:rPr>
        <w:t xml:space="preserve">but was still less marked than </w:t>
      </w:r>
      <w:r w:rsidR="000B7A3E" w:rsidRPr="000B7A3E">
        <w:rPr>
          <w:rFonts w:ascii="Arial" w:eastAsia="Times New Roman" w:hAnsi="Arial"/>
          <w:kern w:val="0"/>
          <w:sz w:val="28"/>
          <w:szCs w:val="28"/>
          <w:lang w:eastAsia="en-IN"/>
          <w14:ligatures w14:val="none"/>
        </w:rPr>
        <w:t>elsewhere. See Apple Mobility Trends Report,including a strategy of rapid and massive testing, tracking and tracing (TTT)</w:t>
      </w:r>
      <w:r>
        <w:rPr>
          <w:rFonts w:ascii="Arial" w:eastAsia="Times New Roman" w:hAnsi="Arial"/>
          <w:kern w:val="0"/>
          <w:sz w:val="28"/>
          <w:szCs w:val="28"/>
          <w:lang w:eastAsia="en-IN"/>
          <w14:ligatures w14:val="none"/>
        </w:rPr>
        <w:t xml:space="preserve">, to contain the spread of the </w:t>
      </w:r>
      <w:r w:rsidR="000B7A3E" w:rsidRPr="000B7A3E">
        <w:rPr>
          <w:rFonts w:ascii="Arial" w:eastAsia="Times New Roman" w:hAnsi="Arial"/>
          <w:kern w:val="0"/>
          <w:sz w:val="28"/>
          <w:szCs w:val="28"/>
          <w:lang w:eastAsia="en-IN"/>
          <w14:ligatures w14:val="none"/>
        </w:rPr>
        <w:t>virus, without stopping economic activity (OECD, 2020[2]).</w:t>
      </w:r>
    </w:p>
    <w:p w:rsidR="000B7A3E" w:rsidRPr="000B7A3E"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0B7A3E" w:rsidRPr="000B7A3E"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0B7A3E" w:rsidRPr="00B25379" w:rsidRDefault="000B7A3E" w:rsidP="000B7A3E">
      <w:pPr>
        <w:pBdr>
          <w:bottom w:val="single" w:sz="6" w:space="1" w:color="auto"/>
        </w:pBdr>
        <w:spacing w:after="0" w:line="240" w:lineRule="auto"/>
        <w:jc w:val="both"/>
        <w:rPr>
          <w:rFonts w:ascii="Arial" w:eastAsia="Times New Roman" w:hAnsi="Arial"/>
          <w:b/>
          <w:color w:val="0070C0"/>
          <w:kern w:val="0"/>
          <w:sz w:val="40"/>
          <w:szCs w:val="28"/>
          <w:lang w:eastAsia="en-IN"/>
          <w14:ligatures w14:val="none"/>
        </w:rPr>
      </w:pPr>
    </w:p>
    <w:p w:rsidR="000B7A3E" w:rsidRPr="00B25379" w:rsidRDefault="000B7A3E" w:rsidP="000B7A3E">
      <w:pPr>
        <w:pBdr>
          <w:bottom w:val="single" w:sz="6" w:space="1" w:color="auto"/>
        </w:pBdr>
        <w:spacing w:after="0" w:line="240" w:lineRule="auto"/>
        <w:jc w:val="both"/>
        <w:rPr>
          <w:rFonts w:ascii="Arial" w:eastAsia="Times New Roman" w:hAnsi="Arial"/>
          <w:b/>
          <w:color w:val="0070C0"/>
          <w:kern w:val="0"/>
          <w:sz w:val="40"/>
          <w:szCs w:val="28"/>
          <w:lang w:eastAsia="en-IN"/>
          <w14:ligatures w14:val="none"/>
        </w:rPr>
      </w:pPr>
      <w:r w:rsidRPr="00B25379">
        <w:rPr>
          <w:rFonts w:ascii="Arial" w:eastAsia="Times New Roman" w:hAnsi="Arial"/>
          <w:b/>
          <w:color w:val="0070C0"/>
          <w:kern w:val="0"/>
          <w:sz w:val="40"/>
          <w:szCs w:val="28"/>
          <w:lang w:eastAsia="en-IN"/>
          <w14:ligatures w14:val="none"/>
        </w:rPr>
        <w:t xml:space="preserve"> Individual mobility fell substantially in most G20 countries</w:t>
      </w:r>
    </w:p>
    <w:p w:rsidR="000B7A3E" w:rsidRPr="000B7A3E" w:rsidRDefault="00B25379"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Pr>
          <w:rFonts w:ascii="Arial" w:eastAsia="Times New Roman" w:hAnsi="Arial"/>
          <w:kern w:val="0"/>
          <w:sz w:val="28"/>
          <w:szCs w:val="28"/>
          <w:lang w:eastAsia="en-IN"/>
          <w14:ligatures w14:val="none"/>
        </w:rPr>
        <w:t xml:space="preserve">           </w:t>
      </w:r>
      <w:r w:rsidR="000B7A3E" w:rsidRPr="000B7A3E">
        <w:rPr>
          <w:rFonts w:ascii="Arial" w:eastAsia="Times New Roman" w:hAnsi="Arial"/>
          <w:kern w:val="0"/>
          <w:sz w:val="28"/>
          <w:szCs w:val="28"/>
          <w:lang w:eastAsia="en-IN"/>
          <w14:ligatures w14:val="none"/>
        </w:rPr>
        <w:t>Weekly average of percentage change in mobility relative to median value during 3 January to 6 February 2020</w:t>
      </w:r>
    </w:p>
    <w:p w:rsidR="000B7A3E" w:rsidRPr="000B7A3E"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sidRPr="000B7A3E">
        <w:rPr>
          <w:rFonts w:ascii="Arial" w:eastAsia="Times New Roman" w:hAnsi="Arial"/>
          <w:kern w:val="0"/>
          <w:sz w:val="28"/>
          <w:szCs w:val="28"/>
          <w:lang w:eastAsia="en-IN"/>
          <w14:ligatures w14:val="none"/>
        </w:rPr>
        <w:t xml:space="preserve">Note: The data refer to Google data on a person’s location which was deemed to be a workplace. </w:t>
      </w:r>
    </w:p>
    <w:p w:rsidR="000B7A3E" w:rsidRPr="000B7A3E" w:rsidRDefault="00B25379"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Pr>
          <w:rFonts w:ascii="Arial" w:eastAsia="Times New Roman" w:hAnsi="Arial"/>
          <w:kern w:val="0"/>
          <w:sz w:val="28"/>
          <w:szCs w:val="28"/>
          <w:lang w:eastAsia="en-IN"/>
          <w14:ligatures w14:val="none"/>
        </w:rPr>
        <w:t xml:space="preserve">                             </w:t>
      </w:r>
      <w:r w:rsidR="000B7A3E" w:rsidRPr="000B7A3E">
        <w:rPr>
          <w:rFonts w:ascii="Arial" w:eastAsia="Times New Roman" w:hAnsi="Arial"/>
          <w:kern w:val="0"/>
          <w:sz w:val="28"/>
          <w:szCs w:val="28"/>
          <w:lang w:eastAsia="en-IN"/>
          <w14:ligatures w14:val="none"/>
        </w:rPr>
        <w:t>Source: Google COVID-19 Community Mobility Reports, https://www.google.com/covid19/mobility/ (accessed on 15 July 2020).</w:t>
      </w:r>
    </w:p>
    <w:p w:rsidR="000B7A3E" w:rsidRPr="000B7A3E" w:rsidRDefault="00B25379"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Pr>
          <w:rFonts w:ascii="Arial" w:eastAsia="Times New Roman" w:hAnsi="Arial"/>
          <w:kern w:val="0"/>
          <w:sz w:val="28"/>
          <w:szCs w:val="28"/>
          <w:lang w:eastAsia="en-IN"/>
          <w14:ligatures w14:val="none"/>
        </w:rPr>
        <w:t xml:space="preserve">                   </w:t>
      </w:r>
      <w:r w:rsidR="000B7A3E" w:rsidRPr="000B7A3E">
        <w:rPr>
          <w:rFonts w:ascii="Arial" w:eastAsia="Times New Roman" w:hAnsi="Arial"/>
          <w:kern w:val="0"/>
          <w:sz w:val="28"/>
          <w:szCs w:val="28"/>
          <w:lang w:eastAsia="en-IN"/>
          <w14:ligatures w14:val="none"/>
        </w:rPr>
        <w:t>The result of containment measures, and the subsequent decline in mobil</w:t>
      </w:r>
      <w:r>
        <w:rPr>
          <w:rFonts w:ascii="Arial" w:eastAsia="Times New Roman" w:hAnsi="Arial"/>
          <w:kern w:val="0"/>
          <w:sz w:val="28"/>
          <w:szCs w:val="28"/>
          <w:lang w:eastAsia="en-IN"/>
          <w14:ligatures w14:val="none"/>
        </w:rPr>
        <w:t xml:space="preserve">ity, was a major supply shock, </w:t>
      </w:r>
      <w:r w:rsidR="000B7A3E" w:rsidRPr="000B7A3E">
        <w:rPr>
          <w:rFonts w:ascii="Arial" w:eastAsia="Times New Roman" w:hAnsi="Arial"/>
          <w:kern w:val="0"/>
          <w:sz w:val="28"/>
          <w:szCs w:val="28"/>
          <w:lang w:eastAsia="en-IN"/>
          <w14:ligatures w14:val="none"/>
        </w:rPr>
        <w:t>as workers stayed home and many businesses temporarily closed. Interna</w:t>
      </w:r>
      <w:r>
        <w:rPr>
          <w:rFonts w:ascii="Arial" w:eastAsia="Times New Roman" w:hAnsi="Arial"/>
          <w:kern w:val="0"/>
          <w:sz w:val="28"/>
          <w:szCs w:val="28"/>
          <w:lang w:eastAsia="en-IN"/>
          <w14:ligatures w14:val="none"/>
        </w:rPr>
        <w:t xml:space="preserve">tional supply chains and trade </w:t>
      </w:r>
      <w:r w:rsidR="000B7A3E" w:rsidRPr="000B7A3E">
        <w:rPr>
          <w:rFonts w:ascii="Arial" w:eastAsia="Times New Roman" w:hAnsi="Arial"/>
          <w:kern w:val="0"/>
          <w:sz w:val="28"/>
          <w:szCs w:val="28"/>
          <w:lang w:eastAsia="en-IN"/>
          <w14:ligatures w14:val="none"/>
        </w:rPr>
        <w:t xml:space="preserve">were also disrupted adding to the supply shock even in countries not initially hit by the </w:t>
      </w:r>
      <w:r>
        <w:rPr>
          <w:rFonts w:ascii="Arial" w:eastAsia="Times New Roman" w:hAnsi="Arial"/>
          <w:kern w:val="0"/>
          <w:sz w:val="28"/>
          <w:szCs w:val="28"/>
          <w:lang w:eastAsia="en-IN"/>
          <w14:ligatures w14:val="none"/>
        </w:rPr>
        <w:t xml:space="preserve">coronavirus and </w:t>
      </w:r>
      <w:r w:rsidR="000B7A3E" w:rsidRPr="000B7A3E">
        <w:rPr>
          <w:rFonts w:ascii="Arial" w:eastAsia="Times New Roman" w:hAnsi="Arial"/>
          <w:kern w:val="0"/>
          <w:sz w:val="28"/>
          <w:szCs w:val="28"/>
          <w:lang w:eastAsia="en-IN"/>
          <w14:ligatures w14:val="none"/>
        </w:rPr>
        <w:t xml:space="preserve">where it had not yet taken hold. At the same time, demand for many goods and services plummeted, as </w:t>
      </w:r>
    </w:p>
    <w:p w:rsidR="000B7A3E" w:rsidRPr="000B7A3E"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sidRPr="000B7A3E">
        <w:rPr>
          <w:rFonts w:ascii="Arial" w:eastAsia="Times New Roman" w:hAnsi="Arial"/>
          <w:kern w:val="0"/>
          <w:sz w:val="28"/>
          <w:szCs w:val="28"/>
          <w:lang w:eastAsia="en-IN"/>
          <w14:ligatures w14:val="none"/>
        </w:rPr>
        <w:t>households and companies were unable, ei</w:t>
      </w:r>
      <w:r w:rsidR="00B25379">
        <w:rPr>
          <w:rFonts w:ascii="Arial" w:eastAsia="Times New Roman" w:hAnsi="Arial"/>
          <w:kern w:val="0"/>
          <w:sz w:val="28"/>
          <w:szCs w:val="28"/>
          <w:lang w:eastAsia="en-IN"/>
          <w14:ligatures w14:val="none"/>
        </w:rPr>
        <w:t xml:space="preserve">ther physically or financially,to maintain their spending as </w:t>
      </w:r>
      <w:r w:rsidRPr="000B7A3E">
        <w:rPr>
          <w:rFonts w:ascii="Arial" w:eastAsia="Times New Roman" w:hAnsi="Arial"/>
          <w:kern w:val="0"/>
          <w:sz w:val="28"/>
          <w:szCs w:val="28"/>
          <w:lang w:eastAsia="en-IN"/>
          <w14:ligatures w14:val="none"/>
        </w:rPr>
        <w:t xml:space="preserve">production fell, jobs were lost and incomes declined, and as growing uncertainty led them to save whatever </w:t>
      </w:r>
    </w:p>
    <w:p w:rsidR="000B7A3E" w:rsidRPr="000B7A3E"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sidRPr="000B7A3E">
        <w:rPr>
          <w:rFonts w:ascii="Arial" w:eastAsia="Times New Roman" w:hAnsi="Arial"/>
          <w:kern w:val="0"/>
          <w:sz w:val="28"/>
          <w:szCs w:val="28"/>
          <w:lang w:eastAsia="en-IN"/>
          <w14:ligatures w14:val="none"/>
        </w:rPr>
        <w:t>they could. This turned the supply shock, very rapidly, into a demand shock.</w:t>
      </w:r>
    </w:p>
    <w:p w:rsidR="000B7A3E" w:rsidRPr="000B7A3E"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0B7A3E" w:rsidRPr="000B7A3E"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0B7A3E" w:rsidRPr="000B7A3E"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0B7A3E" w:rsidRDefault="000B7A3E" w:rsidP="000B7A3E">
      <w:pPr>
        <w:pBdr>
          <w:bottom w:val="single" w:sz="6" w:space="1" w:color="auto"/>
        </w:pBdr>
        <w:spacing w:after="0" w:line="240" w:lineRule="auto"/>
        <w:jc w:val="both"/>
        <w:rPr>
          <w:rFonts w:ascii="Arial" w:eastAsia="Times New Roman" w:hAnsi="Arial"/>
          <w:b/>
          <w:color w:val="7030A0"/>
          <w:kern w:val="0"/>
          <w:sz w:val="36"/>
          <w:szCs w:val="28"/>
          <w:u w:val="single"/>
          <w:lang w:eastAsia="en-IN"/>
          <w14:ligatures w14:val="none"/>
        </w:rPr>
      </w:pPr>
      <w:r w:rsidRPr="00B25379">
        <w:rPr>
          <w:rFonts w:ascii="Arial" w:eastAsia="Times New Roman" w:hAnsi="Arial"/>
          <w:b/>
          <w:color w:val="7030A0"/>
          <w:kern w:val="0"/>
          <w:sz w:val="36"/>
          <w:szCs w:val="28"/>
          <w:u w:val="single"/>
          <w:lang w:eastAsia="en-IN"/>
          <w14:ligatures w14:val="none"/>
        </w:rPr>
        <w:t xml:space="preserve">Macroeconomic consequences </w:t>
      </w:r>
      <w:r w:rsidR="00B25379">
        <w:rPr>
          <w:rFonts w:ascii="Arial" w:eastAsia="Times New Roman" w:hAnsi="Arial"/>
          <w:b/>
          <w:color w:val="7030A0"/>
          <w:kern w:val="0"/>
          <w:sz w:val="36"/>
          <w:szCs w:val="28"/>
          <w:u w:val="single"/>
          <w:lang w:eastAsia="en-IN"/>
          <w14:ligatures w14:val="none"/>
        </w:rPr>
        <w:t>:-</w:t>
      </w:r>
    </w:p>
    <w:p w:rsidR="00B25379" w:rsidRPr="00B25379" w:rsidRDefault="00B25379" w:rsidP="000B7A3E">
      <w:pPr>
        <w:pBdr>
          <w:bottom w:val="single" w:sz="6" w:space="1" w:color="auto"/>
        </w:pBdr>
        <w:spacing w:after="0" w:line="240" w:lineRule="auto"/>
        <w:jc w:val="both"/>
        <w:rPr>
          <w:rFonts w:ascii="Arial" w:eastAsia="Times New Roman" w:hAnsi="Arial"/>
          <w:b/>
          <w:color w:val="7030A0"/>
          <w:kern w:val="0"/>
          <w:sz w:val="36"/>
          <w:szCs w:val="28"/>
          <w:u w:val="single"/>
          <w:lang w:eastAsia="en-IN"/>
          <w14:ligatures w14:val="none"/>
        </w:rPr>
      </w:pPr>
    </w:p>
    <w:p w:rsidR="000B7A3E" w:rsidRPr="000B7A3E"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sidRPr="000B7A3E">
        <w:rPr>
          <w:rFonts w:ascii="Arial" w:eastAsia="Times New Roman" w:hAnsi="Arial"/>
          <w:kern w:val="0"/>
          <w:sz w:val="28"/>
          <w:szCs w:val="28"/>
          <w:lang w:eastAsia="en-IN"/>
          <w14:ligatures w14:val="none"/>
        </w:rPr>
        <w:t>The impact of the pandemic and containment measures led to a severe contrac</w:t>
      </w:r>
      <w:r w:rsidR="00B25379">
        <w:rPr>
          <w:rFonts w:ascii="Arial" w:eastAsia="Times New Roman" w:hAnsi="Arial"/>
          <w:kern w:val="0"/>
          <w:sz w:val="28"/>
          <w:szCs w:val="28"/>
          <w:lang w:eastAsia="en-IN"/>
          <w14:ligatures w14:val="none"/>
        </w:rPr>
        <w:t xml:space="preserve">tion in economic </w:t>
      </w:r>
      <w:r w:rsidRPr="000B7A3E">
        <w:rPr>
          <w:rFonts w:ascii="Arial" w:eastAsia="Times New Roman" w:hAnsi="Arial"/>
          <w:kern w:val="0"/>
          <w:sz w:val="28"/>
          <w:szCs w:val="28"/>
          <w:lang w:eastAsia="en-IN"/>
          <w14:ligatures w14:val="none"/>
        </w:rPr>
        <w:t>activity as many people were unable to go to work and busin</w:t>
      </w:r>
      <w:r w:rsidR="00B25379">
        <w:rPr>
          <w:rFonts w:ascii="Arial" w:eastAsia="Times New Roman" w:hAnsi="Arial"/>
          <w:kern w:val="0"/>
          <w:sz w:val="28"/>
          <w:szCs w:val="28"/>
          <w:lang w:eastAsia="en-IN"/>
          <w14:ligatures w14:val="none"/>
        </w:rPr>
        <w:t xml:space="preserve">esses could no longer operate. </w:t>
      </w:r>
      <w:r w:rsidRPr="000B7A3E">
        <w:rPr>
          <w:rFonts w:ascii="Arial" w:eastAsia="Times New Roman" w:hAnsi="Arial"/>
          <w:kern w:val="0"/>
          <w:sz w:val="28"/>
          <w:szCs w:val="28"/>
          <w:lang w:eastAsia="en-IN"/>
          <w14:ligatures w14:val="none"/>
        </w:rPr>
        <w:t xml:space="preserve">Industrial production declined on average by around 28% in G20 countries in just two months between </w:t>
      </w:r>
    </w:p>
    <w:p w:rsidR="000B7A3E" w:rsidRPr="000B7A3E"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sidRPr="000B7A3E">
        <w:rPr>
          <w:rFonts w:ascii="Arial" w:eastAsia="Times New Roman" w:hAnsi="Arial"/>
          <w:kern w:val="0"/>
          <w:sz w:val="28"/>
          <w:szCs w:val="28"/>
          <w:lang w:eastAsia="en-IN"/>
          <w14:ligatures w14:val="none"/>
        </w:rPr>
        <w:t>February and April 2020 (Figure 3). Larger declines of between 40 and 60 p</w:t>
      </w:r>
      <w:r w:rsidR="00B25379">
        <w:rPr>
          <w:rFonts w:ascii="Arial" w:eastAsia="Times New Roman" w:hAnsi="Arial"/>
          <w:kern w:val="0"/>
          <w:sz w:val="28"/>
          <w:szCs w:val="28"/>
          <w:lang w:eastAsia="en-IN"/>
          <w14:ligatures w14:val="none"/>
        </w:rPr>
        <w:t xml:space="preserve">ercent were recorded in India, </w:t>
      </w:r>
      <w:r w:rsidRPr="000B7A3E">
        <w:rPr>
          <w:rFonts w:ascii="Arial" w:eastAsia="Times New Roman" w:hAnsi="Arial"/>
          <w:kern w:val="0"/>
          <w:sz w:val="28"/>
          <w:szCs w:val="28"/>
          <w:lang w:eastAsia="en-IN"/>
          <w14:ligatures w14:val="none"/>
        </w:rPr>
        <w:t xml:space="preserve">Indonesia, Italy and South Africa and relatively small declines occurred in Korea and Russia. The data </w:t>
      </w:r>
    </w:p>
    <w:p w:rsidR="00B25379"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sidRPr="000B7A3E">
        <w:rPr>
          <w:rFonts w:ascii="Arial" w:eastAsia="Times New Roman" w:hAnsi="Arial"/>
          <w:kern w:val="0"/>
          <w:sz w:val="28"/>
          <w:szCs w:val="28"/>
          <w:lang w:eastAsia="en-IN"/>
          <w14:ligatures w14:val="none"/>
        </w:rPr>
        <w:t>indicate that a trough in activity occurred in April in all countries except China, where it</w:t>
      </w:r>
      <w:r w:rsidR="00B25379">
        <w:rPr>
          <w:rFonts w:ascii="Arial" w:eastAsia="Times New Roman" w:hAnsi="Arial"/>
          <w:kern w:val="0"/>
          <w:sz w:val="28"/>
          <w:szCs w:val="28"/>
          <w:lang w:eastAsia="en-IN"/>
          <w14:ligatures w14:val="none"/>
        </w:rPr>
        <w:t xml:space="preserve"> occurred in </w:t>
      </w:r>
      <w:r w:rsidRPr="000B7A3E">
        <w:rPr>
          <w:rFonts w:ascii="Arial" w:eastAsia="Times New Roman" w:hAnsi="Arial"/>
          <w:kern w:val="0"/>
          <w:sz w:val="28"/>
          <w:szCs w:val="28"/>
          <w:lang w:eastAsia="en-IN"/>
          <w14:ligatures w14:val="none"/>
        </w:rPr>
        <w:t>February. However, despite a rebound in activity, industrial production in</w:t>
      </w:r>
      <w:r w:rsidR="00B25379">
        <w:rPr>
          <w:rFonts w:ascii="Arial" w:eastAsia="Times New Roman" w:hAnsi="Arial"/>
          <w:kern w:val="0"/>
          <w:sz w:val="28"/>
          <w:szCs w:val="28"/>
          <w:lang w:eastAsia="en-IN"/>
          <w14:ligatures w14:val="none"/>
        </w:rPr>
        <w:t xml:space="preserve"> June 2020 remained well below </w:t>
      </w:r>
      <w:r w:rsidRPr="000B7A3E">
        <w:rPr>
          <w:rFonts w:ascii="Arial" w:eastAsia="Times New Roman" w:hAnsi="Arial"/>
          <w:kern w:val="0"/>
          <w:sz w:val="28"/>
          <w:szCs w:val="28"/>
          <w:lang w:eastAsia="en-IN"/>
          <w14:ligatures w14:val="none"/>
        </w:rPr>
        <w:t>its pre-crisis level with th</w:t>
      </w:r>
      <w:r w:rsidR="00B25379">
        <w:rPr>
          <w:rFonts w:ascii="Arial" w:eastAsia="Times New Roman" w:hAnsi="Arial"/>
          <w:kern w:val="0"/>
          <w:sz w:val="28"/>
          <w:szCs w:val="28"/>
          <w:lang w:eastAsia="en-IN"/>
          <w14:ligatures w14:val="none"/>
        </w:rPr>
        <w:t>e exception of China and Korea.</w:t>
      </w:r>
      <w:r w:rsidRPr="000B7A3E">
        <w:rPr>
          <w:rFonts w:ascii="Arial" w:eastAsia="Times New Roman" w:hAnsi="Arial"/>
          <w:kern w:val="0"/>
          <w:sz w:val="28"/>
          <w:szCs w:val="28"/>
          <w:lang w:eastAsia="en-IN"/>
          <w14:ligatures w14:val="none"/>
        </w:rPr>
        <w:t xml:space="preserve">Figure 3. </w:t>
      </w:r>
    </w:p>
    <w:p w:rsidR="00B25379" w:rsidRDefault="00B25379"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0B7A3E" w:rsidRDefault="00B25379"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Pr>
          <w:rFonts w:ascii="Arial" w:eastAsia="Times New Roman" w:hAnsi="Arial"/>
          <w:kern w:val="0"/>
          <w:sz w:val="28"/>
          <w:szCs w:val="28"/>
          <w:lang w:eastAsia="en-IN"/>
          <w14:ligatures w14:val="none"/>
        </w:rPr>
        <w:lastRenderedPageBreak/>
        <w:t xml:space="preserve">                  </w:t>
      </w:r>
      <w:r w:rsidR="000B7A3E" w:rsidRPr="000B7A3E">
        <w:rPr>
          <w:rFonts w:ascii="Arial" w:eastAsia="Times New Roman" w:hAnsi="Arial"/>
          <w:kern w:val="0"/>
          <w:sz w:val="28"/>
          <w:szCs w:val="28"/>
          <w:lang w:eastAsia="en-IN"/>
          <w14:ligatures w14:val="none"/>
        </w:rPr>
        <w:t>Industrial production was severely curtailed by containment measures</w:t>
      </w:r>
      <w:r>
        <w:rPr>
          <w:rFonts w:ascii="Arial" w:eastAsia="Times New Roman" w:hAnsi="Arial"/>
          <w:kern w:val="0"/>
          <w:sz w:val="28"/>
          <w:szCs w:val="28"/>
          <w:lang w:eastAsia="en-IN"/>
          <w14:ligatures w14:val="none"/>
        </w:rPr>
        <w:t xml:space="preserve"> </w:t>
      </w:r>
      <w:r w:rsidR="000B7A3E" w:rsidRPr="000B7A3E">
        <w:rPr>
          <w:rFonts w:ascii="Arial" w:eastAsia="Times New Roman" w:hAnsi="Arial"/>
          <w:kern w:val="0"/>
          <w:sz w:val="28"/>
          <w:szCs w:val="28"/>
          <w:lang w:eastAsia="en-IN"/>
          <w14:ligatures w14:val="none"/>
        </w:rPr>
        <w:t>Percentage change in seasonally adjusted production since February 2020</w:t>
      </w:r>
    </w:p>
    <w:p w:rsidR="00B25379" w:rsidRPr="000B7A3E" w:rsidRDefault="00B25379"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0B7A3E" w:rsidRDefault="00B25379"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Pr>
          <w:rFonts w:ascii="Arial" w:eastAsia="Times New Roman" w:hAnsi="Arial"/>
          <w:kern w:val="0"/>
          <w:sz w:val="28"/>
          <w:szCs w:val="28"/>
          <w:lang w:eastAsia="en-IN"/>
          <w14:ligatures w14:val="none"/>
        </w:rPr>
        <w:t xml:space="preserve">                 </w:t>
      </w:r>
      <w:r w:rsidR="000B7A3E" w:rsidRPr="000B7A3E">
        <w:rPr>
          <w:rFonts w:ascii="Arial" w:eastAsia="Times New Roman" w:hAnsi="Arial"/>
          <w:kern w:val="0"/>
          <w:sz w:val="28"/>
          <w:szCs w:val="28"/>
          <w:lang w:eastAsia="en-IN"/>
          <w14:ligatures w14:val="none"/>
        </w:rPr>
        <w:t xml:space="preserve"> The data for China refer to December to February and December to June as local lockdowns began alread</w:t>
      </w:r>
      <w:r>
        <w:rPr>
          <w:rFonts w:ascii="Arial" w:eastAsia="Times New Roman" w:hAnsi="Arial"/>
          <w:kern w:val="0"/>
          <w:sz w:val="28"/>
          <w:szCs w:val="28"/>
          <w:lang w:eastAsia="en-IN"/>
          <w14:ligatures w14:val="none"/>
        </w:rPr>
        <w:t xml:space="preserve">y in late January and affected </w:t>
      </w:r>
      <w:r w:rsidR="000B7A3E" w:rsidRPr="000B7A3E">
        <w:rPr>
          <w:rFonts w:ascii="Arial" w:eastAsia="Times New Roman" w:hAnsi="Arial"/>
          <w:kern w:val="0"/>
          <w:sz w:val="28"/>
          <w:szCs w:val="28"/>
          <w:lang w:eastAsia="en-IN"/>
          <w14:ligatures w14:val="none"/>
        </w:rPr>
        <w:t>production most severely in February.</w:t>
      </w:r>
    </w:p>
    <w:p w:rsidR="00B25379" w:rsidRPr="000B7A3E" w:rsidRDefault="00B25379"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0B7A3E"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sidRPr="000B7A3E">
        <w:rPr>
          <w:rFonts w:ascii="Arial" w:eastAsia="Times New Roman" w:hAnsi="Arial"/>
          <w:kern w:val="0"/>
          <w:sz w:val="28"/>
          <w:szCs w:val="28"/>
          <w:lang w:eastAsia="en-IN"/>
          <w14:ligatures w14:val="none"/>
        </w:rPr>
        <w:t>Note: The data for Argentina, Indonesia, Mexico, South Africa and Saudi Arabia refer to</w:t>
      </w:r>
      <w:r w:rsidR="00B25379">
        <w:rPr>
          <w:rFonts w:ascii="Arial" w:eastAsia="Times New Roman" w:hAnsi="Arial"/>
          <w:kern w:val="0"/>
          <w:sz w:val="28"/>
          <w:szCs w:val="28"/>
          <w:lang w:eastAsia="en-IN"/>
          <w14:ligatures w14:val="none"/>
        </w:rPr>
        <w:t xml:space="preserve"> the manufacturing sector only.</w:t>
      </w:r>
      <w:r w:rsidRPr="000B7A3E">
        <w:rPr>
          <w:rFonts w:ascii="Arial" w:eastAsia="Times New Roman" w:hAnsi="Arial"/>
          <w:kern w:val="0"/>
          <w:sz w:val="28"/>
          <w:szCs w:val="28"/>
          <w:lang w:eastAsia="en-IN"/>
          <w14:ligatures w14:val="none"/>
        </w:rPr>
        <w:t>Source: OECD, national sources and IHS Markit M</w:t>
      </w:r>
      <w:r w:rsidR="00B25379">
        <w:rPr>
          <w:rFonts w:ascii="Arial" w:eastAsia="Times New Roman" w:hAnsi="Arial"/>
          <w:kern w:val="0"/>
          <w:sz w:val="28"/>
          <w:szCs w:val="28"/>
          <w:lang w:eastAsia="en-IN"/>
          <w14:ligatures w14:val="none"/>
        </w:rPr>
        <w:t>anufacturing PMI for Indonesia.</w:t>
      </w:r>
      <w:r w:rsidRPr="000B7A3E">
        <w:rPr>
          <w:rFonts w:ascii="Arial" w:eastAsia="Times New Roman" w:hAnsi="Arial"/>
          <w:kern w:val="0"/>
          <w:sz w:val="28"/>
          <w:szCs w:val="28"/>
          <w:lang w:eastAsia="en-IN"/>
          <w14:ligatures w14:val="none"/>
        </w:rPr>
        <w:t>Looking ahead, the strength of the recovery remains highly uncertain. It wi</w:t>
      </w:r>
      <w:r w:rsidR="00B25379">
        <w:rPr>
          <w:rFonts w:ascii="Arial" w:eastAsia="Times New Roman" w:hAnsi="Arial"/>
          <w:kern w:val="0"/>
          <w:sz w:val="28"/>
          <w:szCs w:val="28"/>
          <w:lang w:eastAsia="en-IN"/>
          <w14:ligatures w14:val="none"/>
        </w:rPr>
        <w:t xml:space="preserve">ll depend in part on whether a </w:t>
      </w:r>
      <w:r w:rsidRPr="000B7A3E">
        <w:rPr>
          <w:rFonts w:ascii="Arial" w:eastAsia="Times New Roman" w:hAnsi="Arial"/>
          <w:kern w:val="0"/>
          <w:sz w:val="28"/>
          <w:szCs w:val="28"/>
          <w:lang w:eastAsia="en-IN"/>
          <w14:ligatures w14:val="none"/>
        </w:rPr>
        <w:t>second wave of coronavirus infections can be avoided before an effectiv</w:t>
      </w:r>
      <w:r w:rsidR="00B25379">
        <w:rPr>
          <w:rFonts w:ascii="Arial" w:eastAsia="Times New Roman" w:hAnsi="Arial"/>
          <w:kern w:val="0"/>
          <w:sz w:val="28"/>
          <w:szCs w:val="28"/>
          <w:lang w:eastAsia="en-IN"/>
          <w14:ligatures w14:val="none"/>
        </w:rPr>
        <w:t xml:space="preserve">e treatment or vaccine becomes </w:t>
      </w:r>
      <w:r w:rsidRPr="000B7A3E">
        <w:rPr>
          <w:rFonts w:ascii="Arial" w:eastAsia="Times New Roman" w:hAnsi="Arial"/>
          <w:kern w:val="0"/>
          <w:sz w:val="28"/>
          <w:szCs w:val="28"/>
          <w:lang w:eastAsia="en-IN"/>
          <w14:ligatures w14:val="none"/>
        </w:rPr>
        <w:t>available. Reflecting this uncertainty, the OECD Economic Outlook (</w:t>
      </w:r>
      <w:r w:rsidR="00B25379">
        <w:rPr>
          <w:rFonts w:ascii="Arial" w:eastAsia="Times New Roman" w:hAnsi="Arial"/>
          <w:kern w:val="0"/>
          <w:sz w:val="28"/>
          <w:szCs w:val="28"/>
          <w:lang w:eastAsia="en-IN"/>
          <w14:ligatures w14:val="none"/>
        </w:rPr>
        <w:t xml:space="preserve">2020[3]) published on 10 June, </w:t>
      </w:r>
      <w:r w:rsidRPr="000B7A3E">
        <w:rPr>
          <w:rFonts w:ascii="Arial" w:eastAsia="Times New Roman" w:hAnsi="Arial"/>
          <w:kern w:val="0"/>
          <w:sz w:val="28"/>
          <w:szCs w:val="28"/>
          <w:lang w:eastAsia="en-IN"/>
          <w14:ligatures w14:val="none"/>
        </w:rPr>
        <w:t>presented projections based on two equally likely scenarios</w:t>
      </w: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r>
        <w:rPr>
          <w:rFonts w:ascii="Arial" w:eastAsia="Times New Roman" w:hAnsi="Arial"/>
          <w:kern w:val="0"/>
          <w:sz w:val="28"/>
          <w:szCs w:val="28"/>
          <w:lang w:eastAsia="en-IN"/>
          <w14:ligatures w14:val="none"/>
        </w:rPr>
        <w:t xml:space="preserve">                         </w:t>
      </w: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Default="00B25379" w:rsidP="00B25379">
      <w:pPr>
        <w:pBdr>
          <w:bottom w:val="single" w:sz="6" w:space="1" w:color="auto"/>
        </w:pBdr>
        <w:spacing w:after="0" w:line="240" w:lineRule="auto"/>
        <w:jc w:val="both"/>
        <w:rPr>
          <w:rFonts w:ascii="Arial" w:eastAsia="Times New Roman" w:hAnsi="Arial"/>
          <w:kern w:val="0"/>
          <w:sz w:val="28"/>
          <w:szCs w:val="28"/>
          <w:lang w:eastAsia="en-IN"/>
          <w14:ligatures w14:val="none"/>
        </w:rPr>
      </w:pPr>
    </w:p>
    <w:p w:rsidR="00B25379" w:rsidRPr="00B25379" w:rsidRDefault="00B25379" w:rsidP="00B25379">
      <w:pPr>
        <w:pBdr>
          <w:bottom w:val="single" w:sz="6" w:space="1" w:color="auto"/>
        </w:pBdr>
        <w:spacing w:after="0" w:line="240" w:lineRule="auto"/>
        <w:jc w:val="both"/>
        <w:rPr>
          <w:rFonts w:ascii="Algerian" w:eastAsia="Times New Roman" w:hAnsi="Algerian"/>
          <w:b/>
          <w:color w:val="FF0000"/>
          <w:kern w:val="0"/>
          <w:sz w:val="36"/>
          <w:szCs w:val="28"/>
          <w:lang w:eastAsia="en-IN"/>
          <w14:ligatures w14:val="none"/>
        </w:rPr>
      </w:pPr>
      <w:r w:rsidRPr="00B25379">
        <w:rPr>
          <w:rFonts w:ascii="Algerian" w:eastAsia="Times New Roman" w:hAnsi="Algerian"/>
          <w:b/>
          <w:color w:val="FF0000"/>
          <w:kern w:val="0"/>
          <w:sz w:val="36"/>
          <w:szCs w:val="28"/>
          <w:lang w:eastAsia="en-IN"/>
          <w14:ligatures w14:val="none"/>
        </w:rPr>
        <w:lastRenderedPageBreak/>
        <w:t xml:space="preserve">CONCLUSION:-                           </w:t>
      </w:r>
    </w:p>
    <w:p w:rsidR="000B7A3E" w:rsidRDefault="00B25379" w:rsidP="000B7A3E">
      <w:pPr>
        <w:pBdr>
          <w:bottom w:val="single" w:sz="6" w:space="1" w:color="auto"/>
        </w:pBdr>
        <w:spacing w:after="0" w:line="240" w:lineRule="auto"/>
        <w:jc w:val="both"/>
        <w:rPr>
          <w:rFonts w:ascii="Arial" w:eastAsia="Times New Roman" w:hAnsi="Arial"/>
          <w:kern w:val="0"/>
          <w:sz w:val="28"/>
          <w:szCs w:val="28"/>
          <w:lang w:eastAsia="en-IN"/>
          <w14:ligatures w14:val="none"/>
        </w:rPr>
      </w:pPr>
      <w:r>
        <w:rPr>
          <w:rFonts w:ascii="Arial" w:eastAsia="Times New Roman" w:hAnsi="Arial"/>
          <w:kern w:val="0"/>
          <w:sz w:val="28"/>
          <w:szCs w:val="28"/>
          <w:lang w:eastAsia="en-IN"/>
          <w14:ligatures w14:val="none"/>
        </w:rPr>
        <w:t xml:space="preserve">                              </w:t>
      </w:r>
      <w:r w:rsidR="000B7A3E" w:rsidRPr="000B7A3E">
        <w:rPr>
          <w:rFonts w:ascii="Arial" w:eastAsia="Times New Roman" w:hAnsi="Arial"/>
          <w:kern w:val="0"/>
          <w:sz w:val="28"/>
          <w:szCs w:val="28"/>
          <w:lang w:eastAsia="en-IN"/>
          <w14:ligatures w14:val="none"/>
        </w:rPr>
        <w:t xml:space="preserve"> In the first “</w:t>
      </w:r>
      <w:r>
        <w:rPr>
          <w:rFonts w:ascii="Arial" w:eastAsia="Times New Roman" w:hAnsi="Arial"/>
          <w:kern w:val="0"/>
          <w:sz w:val="28"/>
          <w:szCs w:val="28"/>
          <w:lang w:eastAsia="en-IN"/>
          <w14:ligatures w14:val="none"/>
        </w:rPr>
        <w:t xml:space="preserve">single-hit” scenario, a second </w:t>
      </w:r>
      <w:r w:rsidR="000B7A3E" w:rsidRPr="000B7A3E">
        <w:rPr>
          <w:rFonts w:ascii="Arial" w:eastAsia="Times New Roman" w:hAnsi="Arial"/>
          <w:kern w:val="0"/>
          <w:sz w:val="28"/>
          <w:szCs w:val="28"/>
          <w:lang w:eastAsia="en-IN"/>
          <w14:ligatures w14:val="none"/>
        </w:rPr>
        <w:t xml:space="preserve">wave is avoided, in the “double-hit” scenario, it is not. In both scenarios, G20 economies are projected to contract substantially in 2020 by 5.8% and 7.3%, respectively. Under the </w:t>
      </w:r>
      <w:r>
        <w:rPr>
          <w:rFonts w:ascii="Arial" w:eastAsia="Times New Roman" w:hAnsi="Arial"/>
          <w:kern w:val="0"/>
          <w:sz w:val="28"/>
          <w:szCs w:val="28"/>
          <w:lang w:eastAsia="en-IN"/>
          <w14:ligatures w14:val="none"/>
        </w:rPr>
        <w:t xml:space="preserve">single-hit scenario, growth is </w:t>
      </w:r>
      <w:r w:rsidR="000B7A3E" w:rsidRPr="000B7A3E">
        <w:rPr>
          <w:rFonts w:ascii="Arial" w:eastAsia="Times New Roman" w:hAnsi="Arial"/>
          <w:kern w:val="0"/>
          <w:sz w:val="28"/>
          <w:szCs w:val="28"/>
          <w:lang w:eastAsia="en-IN"/>
          <w14:ligatures w14:val="none"/>
        </w:rPr>
        <w:t>projected to rebound in 2021 by 5.5%, leaving real GDP for the G20 eco</w:t>
      </w:r>
      <w:r>
        <w:rPr>
          <w:rFonts w:ascii="Arial" w:eastAsia="Times New Roman" w:hAnsi="Arial"/>
          <w:kern w:val="0"/>
          <w:sz w:val="28"/>
          <w:szCs w:val="28"/>
          <w:lang w:eastAsia="en-IN"/>
          <w14:ligatures w14:val="none"/>
        </w:rPr>
        <w:t xml:space="preserve">nomy as a whole slightly below </w:t>
      </w:r>
      <w:r w:rsidR="000B7A3E" w:rsidRPr="000B7A3E">
        <w:rPr>
          <w:rFonts w:ascii="Arial" w:eastAsia="Times New Roman" w:hAnsi="Arial"/>
          <w:kern w:val="0"/>
          <w:sz w:val="28"/>
          <w:szCs w:val="28"/>
          <w:lang w:eastAsia="en-IN"/>
          <w14:ligatures w14:val="none"/>
        </w:rPr>
        <w:t>the level reached in the last quarter of 2019. The rebound will be weaker at just 3.1% un</w:t>
      </w:r>
      <w:r>
        <w:rPr>
          <w:rFonts w:ascii="Arial" w:eastAsia="Times New Roman" w:hAnsi="Arial"/>
          <w:kern w:val="0"/>
          <w:sz w:val="28"/>
          <w:szCs w:val="28"/>
          <w:lang w:eastAsia="en-IN"/>
          <w14:ligatures w14:val="none"/>
        </w:rPr>
        <w:t xml:space="preserve">der the double-hit </w:t>
      </w:r>
      <w:r w:rsidR="000B7A3E" w:rsidRPr="000B7A3E">
        <w:rPr>
          <w:rFonts w:ascii="Arial" w:eastAsia="Times New Roman" w:hAnsi="Arial"/>
          <w:kern w:val="0"/>
          <w:sz w:val="28"/>
          <w:szCs w:val="28"/>
          <w:lang w:eastAsia="en-IN"/>
          <w14:ligatures w14:val="none"/>
        </w:rPr>
        <w:t>scenario, leaving an even greater gap in real GDP from its pre-crisis leve</w:t>
      </w:r>
      <w:r>
        <w:rPr>
          <w:rFonts w:ascii="Arial" w:eastAsia="Times New Roman" w:hAnsi="Arial"/>
          <w:kern w:val="0"/>
          <w:sz w:val="28"/>
          <w:szCs w:val="28"/>
          <w:lang w:eastAsia="en-IN"/>
          <w14:ligatures w14:val="none"/>
        </w:rPr>
        <w:t xml:space="preserve">l. The gap is even larger when </w:t>
      </w:r>
      <w:r w:rsidR="000B7A3E" w:rsidRPr="000B7A3E">
        <w:rPr>
          <w:rFonts w:ascii="Arial" w:eastAsia="Times New Roman" w:hAnsi="Arial"/>
          <w:kern w:val="0"/>
          <w:sz w:val="28"/>
          <w:szCs w:val="28"/>
          <w:lang w:eastAsia="en-IN"/>
          <w14:ligatures w14:val="none"/>
        </w:rPr>
        <w:t>compared with the increase in GDP for 2020 and 2021 that was projected pr</w:t>
      </w:r>
      <w:r>
        <w:rPr>
          <w:rFonts w:ascii="Arial" w:eastAsia="Times New Roman" w:hAnsi="Arial"/>
          <w:kern w:val="0"/>
          <w:sz w:val="28"/>
          <w:szCs w:val="28"/>
          <w:lang w:eastAsia="en-IN"/>
          <w14:ligatures w14:val="none"/>
        </w:rPr>
        <w:t xml:space="preserve">ior to the crisis and this gap </w:t>
      </w:r>
      <w:r w:rsidR="000B7A3E" w:rsidRPr="000B7A3E">
        <w:rPr>
          <w:rFonts w:ascii="Arial" w:eastAsia="Times New Roman" w:hAnsi="Arial"/>
          <w:kern w:val="0"/>
          <w:sz w:val="28"/>
          <w:szCs w:val="28"/>
          <w:lang w:eastAsia="en-IN"/>
          <w14:ligatures w14:val="none"/>
        </w:rPr>
        <w:t>is wider for the G20 emerging market economies than for the G20 advanced economies</w:t>
      </w:r>
    </w:p>
    <w:p w:rsidR="00B772E1" w:rsidRDefault="00B25379" w:rsidP="000B7A3E">
      <w:pPr>
        <w:jc w:val="both"/>
        <w:rPr>
          <w:sz w:val="28"/>
          <w:szCs w:val="28"/>
        </w:rPr>
      </w:pPr>
      <w:r>
        <w:rPr>
          <w:sz w:val="28"/>
          <w:szCs w:val="28"/>
        </w:rPr>
        <w:t xml:space="preserve">   </w:t>
      </w:r>
    </w:p>
    <w:p w:rsidR="00B25379" w:rsidRDefault="00B25379" w:rsidP="000B7A3E">
      <w:pPr>
        <w:jc w:val="both"/>
        <w:rPr>
          <w:sz w:val="28"/>
          <w:szCs w:val="28"/>
        </w:rPr>
      </w:pPr>
    </w:p>
    <w:p w:rsidR="00B25379" w:rsidRDefault="00B25379" w:rsidP="000B7A3E">
      <w:pPr>
        <w:jc w:val="both"/>
        <w:rPr>
          <w:sz w:val="28"/>
          <w:szCs w:val="28"/>
        </w:rPr>
      </w:pPr>
    </w:p>
    <w:p w:rsidR="00B25379" w:rsidRPr="00CB4F87" w:rsidRDefault="00B25379" w:rsidP="00B25379">
      <w:pPr>
        <w:jc w:val="right"/>
        <w:rPr>
          <w:b/>
          <w:bCs/>
          <w:color w:val="0070C0"/>
          <w:sz w:val="36"/>
          <w:szCs w:val="36"/>
          <w:lang w:val="en-US"/>
        </w:rPr>
      </w:pPr>
      <w:r w:rsidRPr="00CB4F87">
        <w:rPr>
          <w:b/>
          <w:bCs/>
          <w:color w:val="0070C0"/>
          <w:sz w:val="36"/>
          <w:szCs w:val="36"/>
          <w:lang w:val="en-US"/>
        </w:rPr>
        <w:t>DASARI DHARANI</w:t>
      </w:r>
    </w:p>
    <w:p w:rsidR="00B25379" w:rsidRDefault="00B25379" w:rsidP="00B25379">
      <w:pPr>
        <w:jc w:val="right"/>
        <w:rPr>
          <w:b/>
          <w:bCs/>
          <w:color w:val="0070C0"/>
          <w:sz w:val="36"/>
          <w:szCs w:val="36"/>
          <w:lang w:val="en-US"/>
        </w:rPr>
      </w:pPr>
      <w:r>
        <w:rPr>
          <w:b/>
          <w:bCs/>
          <w:color w:val="0070C0"/>
          <w:sz w:val="36"/>
          <w:szCs w:val="36"/>
          <w:lang w:val="en-US"/>
        </w:rPr>
        <w:t>B.SC(MPC.S)</w:t>
      </w:r>
    </w:p>
    <w:p w:rsidR="00B25379" w:rsidRPr="00B25379" w:rsidRDefault="00B25379" w:rsidP="00B25379">
      <w:pPr>
        <w:jc w:val="right"/>
        <w:rPr>
          <w:b/>
          <w:bCs/>
          <w:color w:val="0070C0"/>
          <w:sz w:val="36"/>
          <w:szCs w:val="36"/>
          <w:lang w:val="en-US"/>
        </w:rPr>
      </w:pPr>
      <w:bookmarkStart w:id="0" w:name="_GoBack"/>
      <w:bookmarkEnd w:id="0"/>
      <w:r w:rsidRPr="00CB4F87">
        <w:rPr>
          <w:b/>
          <w:bCs/>
          <w:color w:val="0070C0"/>
          <w:sz w:val="36"/>
          <w:szCs w:val="36"/>
          <w:lang w:val="en-US"/>
        </w:rPr>
        <w:t>HALL NO:21360008006</w:t>
      </w:r>
    </w:p>
    <w:sectPr w:rsidR="00B25379" w:rsidRPr="00B253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38D" w:rsidRDefault="001B538D">
      <w:pPr>
        <w:spacing w:line="240" w:lineRule="auto"/>
      </w:pPr>
      <w:r>
        <w:separator/>
      </w:r>
    </w:p>
  </w:endnote>
  <w:endnote w:type="continuationSeparator" w:id="0">
    <w:p w:rsidR="001B538D" w:rsidRDefault="001B5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gency FB">
    <w:panose1 w:val="020B0503020202020204"/>
    <w:charset w:val="00"/>
    <w:family w:val="swiss"/>
    <w:pitch w:val="variable"/>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Microsoft YaHei"/>
    <w:charset w:val="86"/>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38D" w:rsidRDefault="001B538D">
      <w:pPr>
        <w:spacing w:after="0"/>
      </w:pPr>
      <w:r>
        <w:separator/>
      </w:r>
    </w:p>
  </w:footnote>
  <w:footnote w:type="continuationSeparator" w:id="0">
    <w:p w:rsidR="001B538D" w:rsidRDefault="001B538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A2286"/>
    <w:multiLevelType w:val="hybridMultilevel"/>
    <w:tmpl w:val="52C6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D11284"/>
    <w:multiLevelType w:val="hybridMultilevel"/>
    <w:tmpl w:val="2DC2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5B1"/>
    <w:rsid w:val="000539AA"/>
    <w:rsid w:val="000B7A3E"/>
    <w:rsid w:val="001B538D"/>
    <w:rsid w:val="00273045"/>
    <w:rsid w:val="00526E49"/>
    <w:rsid w:val="006675B1"/>
    <w:rsid w:val="00783ADC"/>
    <w:rsid w:val="00B25379"/>
    <w:rsid w:val="00B772E1"/>
    <w:rsid w:val="00CB4F87"/>
    <w:rsid w:val="0CF43336"/>
    <w:rsid w:val="4EAF692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286C72-D986-4338-A839-6B25B9B0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z-TopofForm1">
    <w:name w:val="z-Top of Form1"/>
    <w:basedOn w:val="Normal"/>
    <w:next w:val="Normal"/>
    <w:link w:val="z-TopofFormChar"/>
    <w:uiPriority w:val="99"/>
    <w:semiHidden/>
    <w:unhideWhenUse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1"/>
    <w:uiPriority w:val="99"/>
    <w:semiHidden/>
    <w:rPr>
      <w:rFonts w:ascii="Arial" w:eastAsia="Times New Roman" w:hAnsi="Arial" w:cs="Arial"/>
      <w:vanish/>
      <w:kern w:val="0"/>
      <w:sz w:val="16"/>
      <w:szCs w:val="16"/>
      <w:lang w:eastAsia="en-IN"/>
      <w14:ligatures w14:val="none"/>
    </w:rPr>
  </w:style>
  <w:style w:type="paragraph" w:styleId="ListParagraph">
    <w:name w:val="List Paragraph"/>
    <w:basedOn w:val="Normal"/>
    <w:uiPriority w:val="99"/>
    <w:rsid w:val="00053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2716</Words>
  <Characters>15483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sadha siv a</dc:creator>
  <cp:lastModifiedBy>STUDENTS</cp:lastModifiedBy>
  <cp:revision>2</cp:revision>
  <dcterms:created xsi:type="dcterms:W3CDTF">2024-04-25T07:37:00Z</dcterms:created>
  <dcterms:modified xsi:type="dcterms:W3CDTF">2024-04-25T07:37:00Z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B37825A3B230466A9D92280C76957444_12</vt:lpwstr>
  </property>
</Properties>
</file>