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ETRM System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Master Data Entry — Technical Design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Two-tier UI/API architecture for 135 master data tables</w:t>
      </w:r>
    </w:p>
    <w:p>
      <w:pPr>
        <w:spacing w:after="700"/>
        <w:jc w:val="center"/>
      </w:pPr>
      <w:r>
        <w:rPr>
          <w:rFonts w:ascii="Arial" w:cs="Arial" w:eastAsia="Arial" w:hAnsi="Arial"/>
          <w:color w:val="808080"/>
          <w:sz w:val="19"/>
          <w:szCs w:val="19"/>
        </w:rPr>
        <w:t xml:space="preserve">Version 1.0 — June 2026</w:t>
      </w:r>
    </w:p>
    <w:p>
      <w:pPr>
        <w:spacing w:after="200"/>
        <w:jc w:val="center"/>
      </w:pPr>
      <w:r>
        <w:drawing>
          <wp:inline distT="0" distB="0" distL="0" distR="0">
            <wp:extent cx="55245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40" w:before="280"/>
      </w:pPr>
      <w:r>
        <w:t xml:space="preserve">1. Problem &amp; Approach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The schema has 135 master data tables across 10 segments — far more than any team can justify hand-building a dedicated screen and controller for each. Most of these tables are simple reference/lookup data (a handful of columns, a CHECK-constrained enum, audit fields) that all share the same shape. A small minority are genuinely complex entities with relationships, multi-step capture, and business rules worth custom UI.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document splits master data entry into two tiers accordingly, rather than picking one extreme: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Tier 1 — Custom screens for ~15 core entities with real relationships and business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Tier 2 — One generic, metadata-driven screen covering the remaining ~120 reference/lookup tables.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Permission levels are intentionally excluded from this design. The current RBAC role list (TRADER, SENIOR_TRADER, RISK_MANAGER, BACK_OFFICE, COMPLIANCE, ADMIN, APPROVER, SYSTEM) is being superseded for master data purposes by a separate, more granular role table — see Section 6.</w:t>
      </w:r>
    </w:p>
    <w:p>
      <w:pPr>
        <w:pStyle w:val="Heading1"/>
        <w:spacing w:after="140" w:before="280"/>
      </w:pPr>
      <w:r>
        <w:t xml:space="preserve">2. Tier 1 — Custom Entity Screens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Tier 1 covers entities with one or more of: nested child records (addresses, contacts, bank accounts), cross-entity relationships that need lookups/typeaheads, multi-step or wizard-style capture, or business rules beyond a CHECK constraint (e.g. trader limit approval chains, product spec inheritance).</w:t>
      </w:r>
    </w:p>
    <w:p>
      <w:pPr>
        <w:pStyle w:val="Heading2"/>
        <w:spacing w:after="110" w:before="220"/>
      </w:pPr>
      <w:r>
        <w:t xml:space="preserve">Candidate Tier 1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Tier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segment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legal_entity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Polymorphic address/tax/bank child records; temporal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Data Foundation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counterparty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KYC status, polymorphic child records; temporal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Data Foundation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trader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Limits, approver chain, desk linkage; temporal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Data Foundation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Hierarchy, legal entity linkage; temporal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Data Foundation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 trader linkage, org hierarchy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Data Foundation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 template inheritance, commodity linkage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Data Foundation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product_spec_template / value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Multi-row min/max/typical capture per product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Spec / MOT /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Polymorphic address; capacity/type-dependent fields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Data Foundation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vessel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Certificates, ownership, capacity attributes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Spec / MOT /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pipeline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Segments, points, tariffs, cycles — multi-table capture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Spec / MOT /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storage_facility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Capacity, polymorphic address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&amp; Operational 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market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Exchange linkage, hours, holiday calendar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Market, Price Source &amp;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pricing_rule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 formula builder; temporal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Pricing Triggers &amp;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generation_asset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Zone/BA linkage, ownership, fuel/technology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balancing_authority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Anchors zones/interconnectors/schedule cycles below 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Schema</w:t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This list is a starting proposal, not final — confirm or adjust before build.</w:t>
      </w:r>
    </w:p>
    <w:p>
      <w:pPr>
        <w:pStyle w:val="Heading2"/>
        <w:spacing w:after="110" w:before="220"/>
      </w:pPr>
      <w:r>
        <w:t xml:space="preserve">Tier 1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React: one screen per entity (tabs for child records where applicable), Ant Design Form + AG Grid list view — same pattern as the existing prototype (App.tsx, services/api.ts).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Spring Boot: one @RestController + @Service + JPA @Entity per table, with Jakarta Bean Validation annotations mirroring the DB CHECK constraints (validation should never rely on the DB to catch a bad value first).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Excel upload/download: reuse and extend services/upload.ts — per-entity column mapping, duplicate detection, row-level validation, downloadable template.</w:t>
      </w:r>
    </w:p>
    <w:p>
      <w:pPr>
        <w:pStyle w:val="Heading1"/>
        <w:spacing w:after="140" w:before="280"/>
      </w:pPr>
      <w:r>
        <w:t xml:space="preserve">3. Tier 2 — Generic Reference Data Screen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Tier 2 covers every table not listed in Tier 1 — roughly 120 tables: currency, commodity, incoterm, credit_rating, charter_party_type, load_shape_template, transmission_zone, every *_type reference table, and so on. These are all structurally the same: a handful of columns, zero or more CHECK-constrained enums, zero or more foreign keys to other simple tables, and standard audit columns. One generic screen and one generic API handles all of them.</w:t>
      </w:r>
    </w:p>
    <w:p>
      <w:pPr>
        <w:pStyle w:val="Heading2"/>
        <w:spacing w:after="110" w:before="220"/>
      </w:pPr>
      <w:r>
        <w:t xml:space="preserve">master_data_table_registry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new, small control table drives the generic screen — it is the only thing that needs a new row when a new Tier 2 table is added; no new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registry_id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table_name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table name, e.g. 'charter_party_type'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label shown in the UI, e.g. 'Charter Party Types'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module_group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Sidebar grouping, e.g. 'Freight', 'Power', 'Pricing'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allow_create / edit / 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 each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Per-table write permission toggles, independent of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allow_excel_upload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bulk upload is offered for this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Hide a table from the generic screen without dropping the registry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Sidebar ordering within module_group</w:t>
            </w:r>
          </w:p>
        </w:tc>
      </w:tr>
    </w:tbl>
    <w:p>
      <w:pPr>
        <w:pStyle w:val="Heading2"/>
        <w:spacing w:after="110" w:before="220"/>
      </w:pPr>
      <w:r>
        <w:t xml:space="preserve">Generic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/api/v1/reference-data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all registered tables (drives the sidebar)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/api/v1/reference-data/{table}/metadata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metadata: name, SQL type, nullable, PK/FK, CHECK enum values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/api/v1/reference-data/{table}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Paginated list of rows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/api/v1/reference-data/{table}/{id}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row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/api/v1/reference-data/{table}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row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 /api/v1/reference-data/{table}/{id}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row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 /api/v1/reference-data/{table}/{id}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or deactivate row, per registry policy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/api/v1/reference-data/{table}/upload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 bulk upload, reusing Tier 1's validation pattern</w:t>
            </w:r>
          </w:p>
        </w:tc>
      </w:tr>
    </w:tbl>
    <w:p>
      <w:pPr>
        <w:pStyle w:val="Heading2"/>
        <w:spacing w:after="110" w:before="220"/>
      </w:pPr>
      <w:r>
        <w:t xml:space="preserve">How metadata is derived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At startup (or on a cache-refresh trigger), the metadata service queries SQL Server's system catalogs directly rather than relying on hand-written per-table DTOs: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INFORMATION_SCHEMA.COLUMNS — column names, types, nullability,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sys.check_constraints + sys.foreign_keys — enum values for dropdowns, FK targets for lookup/typeahead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sys.tables (temporal_type) — whether the table supports history, to decide if a "View History" action is shown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Cache this per table in Spring (e.g. Caffeine), invalidate via an admin-only endpoint when the schema changes — don't re-query the catalog on every request.</w:t>
      </w:r>
    </w:p>
    <w:p>
      <w:pPr>
        <w:pStyle w:val="Heading2"/>
        <w:spacing w:after="110" w:before="220"/>
      </w:pPr>
      <w:r>
        <w:t xml:space="preserve">Generic React component</w:t>
      </w:r>
    </w:p>
    <w:p>
      <w:pPr>
        <w:pBdr>
          <w:left w:val="single" w:color="2E75B6" w:sz="12" w:space="8"/>
        </w:pBdr>
        <w:shd w:fill="F5F5F5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&lt;ReferenceDataTable tableName="charter_party_type" /&gt;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One component renders an AG Grid list plus an Ant Design form, both built dynamically from the /metadata response: text inputs for VARCHAR, numeric inputs for DECIMAL/INT, a Select for any column with CHECK-enum values, and a searchable Select (typeahead) for any column that's a foreign key. This is the same dynamic-validation idea already used in services/upload.ts for Excel import, applied to the live form too.</w:t>
      </w:r>
    </w:p>
    <w:p>
      <w:pPr>
        <w:pStyle w:val="Heading1"/>
        <w:spacing w:after="140" w:before="280"/>
      </w:pPr>
      <w:r>
        <w:t xml:space="preserve">4. Shared Across Both Tiers</w:t>
      </w:r>
    </w:p>
    <w:p>
      <w:pPr>
        <w:pStyle w:val="Heading2"/>
        <w:spacing w:after="110" w:before="220"/>
      </w:pPr>
      <w:r>
        <w:t xml:space="preserve">Excel upload / download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Extend the existing services/upload.ts pattern (parsing, duplicate detection, row-level validation, downloadable template) so it works against both a Tier 1 controller and the generic Tier 2 endpoint. The validation rules come from the same source either way — Tier 1's Bean Validation annotations and Tier 2's catalog-derived metadata both ultimately mirror the same DB CHECK constraints, so upload validation logic can share one core implementation.</w:t>
      </w:r>
    </w:p>
    <w:p>
      <w:pPr>
        <w:pStyle w:val="Heading2"/>
        <w:spacing w:after="110" w:before="220"/>
      </w:pPr>
      <w:r>
        <w:t xml:space="preserve">Audit / view history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Every temporal table (currently: legal_entity, app_user, book, counterparty, pricing_rule, trade_pricing_schedule, trade — see the separate Temporal Tables Fix Patch) already gets full field-level history from SQL Server with zero application code. A "View History" button on any Tier 1 or Tier 2 screen for a temporal table runs a FOR SYSTEM_TIME ALL query and renders a simple timeline — no custom audit-logging code needed anywhere in this design.</w:t>
      </w:r>
    </w:p>
    <w:p>
      <w:pPr>
        <w:pStyle w:val="Heading2"/>
        <w:spacing w:after="110" w:before="220"/>
      </w:pPr>
      <w:r>
        <w:t xml:space="preserve">Soft delete vs hard delete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Tables with an is_active flag should deactivate, not delete, by default (preserves referential integrity for historical trades/positions referencing them). Pure lookup tables with no live FK dependents can support hard delete. This should be a per-table flag on master_data_table_registry for Tier 2, and a per-entity decision in the Tier 1 service layer.</w:t>
      </w:r>
    </w:p>
    <w:p>
      <w:pPr>
        <w:pStyle w:val="Heading1"/>
        <w:spacing w:after="140" w:before="280"/>
      </w:pPr>
      <w:r>
        <w:t xml:space="preserve">5. Example Data Flow — Tier 2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Walkthrough: a back-office user adds a new charter_party_type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React sidebar (grouped by module_group) — user selects "Freight" → "Charter Party Types".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&lt;ReferenceDataTable tableName="charter_party_type" /&gt; mounts, calls GET /reference-data/charter_party_type/metadata.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Spring returns cached column metadata, including the rate_basis CHECK enum values pulled from sys.check_constraints.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Grid + "Add new" form render automatically — rate_basis renders as a Select populated from the enum, no hand-written form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User submits → POST /reference-data/charter_party_type → Spring validates against the same catalog metadata → INSERT → DB CHECK constraint is the final backstop either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Grid refreshes via React Query cache invalidation.</w:t>
      </w:r>
    </w:p>
    <w:p>
      <w:pPr>
        <w:pBdr>
          <w:left w:val="single" w:color="D4537E" w:sz="18" w:space="8"/>
        </w:pBdr>
        <w:shd w:fill="FBEAF0" w:val="clear"/>
        <w:spacing w:after="0" w:before="280"/>
      </w:pPr>
      <w:r>
        <w:rPr>
          <w:rFonts w:ascii="Arial" w:cs="Arial" w:eastAsia="Arial" w:hAnsi="Arial"/>
          <w:b/>
          <w:bCs/>
          <w:color w:val="72243E"/>
          <w:sz w:val="23"/>
          <w:szCs w:val="23"/>
        </w:rPr>
        <w:t xml:space="preserve">  6. Permissions — Deferred</w:t>
      </w:r>
    </w:p>
    <w:p>
      <w:pPr>
        <w:pBdr>
          <w:left w:val="single" w:color="D4537E" w:sz="18" w:space="8"/>
        </w:pBdr>
        <w:shd w:fill="FBEAF0" w:val="clear"/>
        <w:spacing w:after="120"/>
      </w:pPr>
      <w:r>
        <w:rPr>
          <w:rFonts w:ascii="Arial" w:cs="Arial" w:eastAsia="Arial" w:hAnsi="Arial"/>
          <w:i/>
          <w:iCs/>
          <w:color w:val="72243E"/>
          <w:sz w:val="20"/>
          <w:szCs w:val="20"/>
        </w:rPr>
        <w:t xml:space="preserve">Out of scope for this design pass, by request. Noted here so the architecture above doesn't silently assume the wrong access model later.</w:t>
      </w:r>
    </w:p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Permission levels will be flexible, not the fixed 8-value RBAC enum already in the handoff doc. Indicative role codes mentioned: MO-READ-ONLY, MO_SR_TEAM, BO-READ-ONLY, BO_SR_TEAM, BO_MGR, BO_ADMIN (Middle Office / Back Office tiers, read-only through admin). This implies roles are data, not an enum — a separate role table, decoupled from both Tier 1 entity controllers and the Tier 2 generic controller, to be designed when this is picked back up.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Placeholder shape to revisit (not built):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role — role_code, role_name, role_group (MO/BO/etc.), is_active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role_permission or master_data_table_registry extension — per role, per table (or per module_group), CRUD-level grants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user_role — app_user to role, many-to-many, time-bounded (mirrors the trader_commodity_limit time-bounding pattern already used elsewhere)</w:t>
      </w:r>
    </w:p>
    <w:p>
      <w:pPr>
        <w:spacing w:after="160" w:before="12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Until this lands, every endpoint in this design should be treated as authenticated-but-unrestricted at the role level (standard JWT auth still applies) — do not hardcode the current 8-value RBAC enum into the master data controllers, since it will need to be replaced.</w:t>
      </w:r>
    </w:p>
    <w:p>
      <w:pPr>
        <w:pStyle w:val="Heading1"/>
        <w:spacing w:after="140" w:before="280"/>
      </w:pPr>
      <w:r>
        <w:t xml:space="preserve">7. Open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Confirm or adjust the Tier 1 entity list in Section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Seed master_data_table_registry with all ~120 Tier 2 tables (mechanical task once the list is confirmed).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Design the role table properly when permissions are picked back up (Section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Decide soft-delete vs hard-delete policy per table.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ETRM Master Data Entry — Technical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2b20ec7400bc0bd070ad9f4a16cafff7c22e4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2026-06-20T18:56:06.671Z</dcterms:created>
  <dcterms:modified xsi:type="dcterms:W3CDTF">2026-06-20T18:56:06.671Z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