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ETRM System</w:t>
      </w:r>
    </w:p>
    <w:p>
      <w:pPr>
        <w:spacing w:after="600"/>
        <w:jc w:val="center"/>
      </w:pPr>
      <w:r>
        <w:rPr>
          <w:rFonts w:ascii="Arial" w:cs="Arial" w:eastAsia="Arial" w:hAnsi="Arial"/>
          <w:b/>
          <w:bCs/>
          <w:color w:val="404040"/>
          <w:sz w:val="36"/>
          <w:szCs w:val="36"/>
        </w:rPr>
        <w:t xml:space="preserve">Power Commodity — Schema Reference</w:t>
      </w:r>
    </w:p>
    <w:p>
      <w:pPr>
        <w:spacing w:after="100"/>
        <w:jc w:val="center"/>
      </w:pPr>
      <w:r>
        <w:rPr>
          <w:rFonts w:ascii="Arial" w:cs="Arial" w:eastAsia="Arial" w:hAnsi="Arial"/>
          <w:i/>
          <w:iCs/>
          <w:sz w:val="22"/>
          <w:szCs w:val="22"/>
        </w:rPr>
        <w:t xml:space="preserve">Complete table and field-level documentation</w:t>
      </w:r>
    </w:p>
    <w:p>
      <w:pPr>
        <w:spacing w:after="100"/>
        <w:jc w:val="center"/>
      </w:pPr>
      <w:r>
        <w:rPr>
          <w:rFonts w:ascii="Arial" w:cs="Arial" w:eastAsia="Arial" w:hAnsi="Arial"/>
          <w:i/>
          <w:iCs/>
          <w:sz w:val="22"/>
          <w:szCs w:val="22"/>
        </w:rPr>
        <w:t xml:space="preserve">Grid Topology · Generation · Load Shapes · Trade &amp; Transmission Rights Extensions</w:t>
      </w:r>
    </w:p>
    <w:p>
      <w:pPr>
        <w:spacing w:after="800"/>
        <w:jc w:val="center"/>
      </w:pPr>
      <w:r>
        <w:rPr>
          <w:rFonts w:ascii="Arial" w:cs="Arial" w:eastAsia="Arial" w:hAnsi="Arial"/>
          <w:color w:val="808080"/>
          <w:sz w:val="20"/>
          <w:szCs w:val="20"/>
        </w:rPr>
        <w:t xml:space="preserve">Version 1.0 — June 2026</w:t>
      </w:r>
    </w:p>
    <w:p>
      <w:pPr>
        <w:spacing w:after="800"/>
        <w:jc w:val="center"/>
      </w:pPr>
      <w:r>
        <w:rPr>
          <w:rFonts w:ascii="Arial" w:cs="Arial" w:eastAsia="Arial" w:hAnsi="Arial"/>
          <w:b/>
          <w:bCs/>
          <w:color w:val="1F3864"/>
          <w:sz w:val="22"/>
          <w:szCs w:val="22"/>
        </w:rPr>
        <w:t xml:space="preserve">10 tables  •  145 fields documented  •  2 segments</w:t>
      </w:r>
    </w:p>
    <w:p>
      <w:r>
        <w:br w:type="page"/>
      </w:r>
    </w:p>
    <w:p>
      <w:pPr>
        <w:pStyle w:val="Heading1"/>
      </w:pPr>
      <w:r>
        <w:t xml:space="preserve">How To Use This Document</w:t>
      </w:r>
    </w:p>
    <w:p>
      <w:pPr>
        <w:spacing w:after="200"/>
      </w:pPr>
      <w:r>
        <w:rPr>
          <w:sz w:val="20"/>
          <w:szCs w:val="20"/>
        </w:rPr>
        <w:t xml:space="preserve">This document is generated directly from the build scripts — every table and field listed here exists in the schema as written. It is organized by build segment, in the same order the SQL scripts are intended to run. Each table entry lists its purpose, then every field with its data type, nullability, and a plain-English note on why that field exists and what it controls (foreign key targets, allowed values from CHECK constraints, audit/system fields, etc.).</w:t>
      </w:r>
    </w:p>
    <w:p>
      <w:pPr>
        <w:spacing w:after="200"/>
      </w:pPr>
      <w:r>
        <w:rPr>
          <w:i/>
          <w:iCs/>
          <w:sz w:val="20"/>
          <w:szCs w:val="20"/>
        </w:rPr>
        <w:t xml:space="preserve">This is a focused companion document covering only the power-specific tables — grid topology, generation assets, load shapes, the power and transmission-rights trade extensions, and scheduling cycles. Commodity-agnostic tables that power also relies on (trade, position, product, location, period, etc.) are documented in the main ETRM Database Schema Reference.</w:t>
      </w:r>
    </w:p>
    <w:p>
      <w:pPr>
        <w:pStyle w:val="Heading2"/>
        <w:spacing w:after="200" w:before="300"/>
      </w:pPr>
      <w:r>
        <w:t xml:space="preserve">Segment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500"/>
        <w:gridCol w:w="1500"/>
      </w:tblGrid>
      <w:tr>
        <w:trPr>
          <w:tblHeader/>
        </w:trPr>
        <w:tc>
          <w:tcPr>
            <w:tcW w:type="dxa" w:w="5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Segment</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 Script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Tables</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Power Grid, Generation &amp; Product Definition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ETRM_Power_Schema_v1_0.sql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8</w:t>
            </w:r>
          </w:p>
        </w:tc>
      </w:tr>
      <w:tr>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Power Transmission Rights (FTR/CRR/TCC)</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ETRM_Power_Transmission_Rights_Patch_v1_0.sql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2</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TOTAL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10</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00"/>
      </w:pPr>
      <w:r>
        <w:t xml:space="preserve">Power Grid, Generation &amp; Product Definition</w:t>
      </w:r>
    </w:p>
    <w:p>
      <w:pPr>
        <w:spacing w:after="240"/>
      </w:pPr>
      <w:r>
        <w:rPr>
          <w:i/>
          <w:iCs/>
          <w:sz w:val="19"/>
          <w:szCs w:val="19"/>
        </w:rPr>
        <w:t xml:space="preserve">Source script: </w:t>
      </w:r>
      <w:r>
        <w:rPr>
          <w:rFonts w:ascii="Consolas" w:cs="Consolas" w:eastAsia="Consolas" w:hAnsi="Consolas"/>
          <w:i/>
          <w:iCs/>
          <w:sz w:val="19"/>
          <w:szCs w:val="19"/>
        </w:rPr>
        <w:t xml:space="preserve">ETRM_Power_Schema_v1_0.sql</w:t>
      </w:r>
      <w:r>
        <w:rPr>
          <w:i/>
          <w:iCs/>
          <w:sz w:val="19"/>
          <w:szCs w:val="19"/>
        </w:rPr>
        <w:t xml:space="preserve">   •   8 tables</w:t>
      </w:r>
    </w:p>
    <w:p>
      <w:pPr>
        <w:pStyle w:val="Heading2"/>
        <w:spacing w:after="80" w:before="200"/>
      </w:pPr>
      <w:r>
        <w:rPr>
          <w:rFonts w:ascii="Consolas" w:cs="Consolas" w:eastAsia="Consolas" w:hAnsi="Consolas"/>
        </w:rPr>
        <w:t xml:space="preserve">dbo.balancing_authority</w:t>
      </w:r>
    </w:p>
    <w:p>
      <w:pPr>
        <w:spacing w:after="140"/>
      </w:pPr>
      <w:r>
        <w:rPr>
          <w:sz w:val="20"/>
          <w:szCs w:val="20"/>
        </w:rPr>
        <w:t xml:space="preserve">ISO / RTO / TSO master record — the top of the power grid hierarchy. Everything else (zones, interconnectors, generation, schedules) sits under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balancing_authority_id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balancing authority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ba_code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'PJM','ERCOT','NGESO','CAISO'.</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balancing authority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country_code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CHAR(2)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balancing authority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region attribute of this balancing authority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market_type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'ISO', 'RTO', 'TSO', 'VERTICALLY_INTEGRATED', 'OTHER'.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timezone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IANA tz, governs "peak hour" convention for this BA.</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website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website attribute of this balancing authority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dbo.transmission_zone</w:t>
      </w:r>
    </w:p>
    <w:p>
      <w:pPr>
        <w:spacing w:after="140"/>
      </w:pPr>
      <w:r>
        <w:rPr>
          <w:sz w:val="20"/>
          <w:szCs w:val="20"/>
        </w:rPr>
        <w:t xml:space="preserve">Load zones / GSP groups / pricing-node groups within a balancing authority. This is the level most power trades actually settle against — "PJM WEST HUB", "ERCOT NORTH", "NGESO GSP Group _A" — rather than the BA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zone_id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transmission zone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balancing_authority_id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dbo.balancing_authority. Enforces that this value must exist in balancing_authority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zone_code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transmission zone record for lookups and integrations.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zone_name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transmission zone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zone_type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'LOAD_ZONE','GSP_GROUP','PRICING_NODE_GROUP','HUB','OTHER'.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location_id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Representative/reference location (location_type = GRID_NODE).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dbo.interconnector</w:t>
      </w:r>
    </w:p>
    <w:p>
      <w:pPr>
        <w:spacing w:after="140"/>
      </w:pPr>
      <w:r>
        <w:rPr>
          <w:sz w:val="20"/>
          <w:szCs w:val="20"/>
        </w:rPr>
        <w:t xml:space="preserve">Cross-zone / cross-border transmission links. Mirrors transport_route's role for freight, but for grid capacity rather than physical vessel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interconnector_id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interconnector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interconnector_code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interconnector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interconnector_name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interconnector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from_zone_id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dbo.transmission_zone. Enforces that this value must exist in transmission_zone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to_zone_id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dbo.transmission_zone. Enforces that this value must exist in transmission_zone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capacity_mw</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DECIMAL(14,2)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capacity mw attribute of this interconnector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direction_type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'UNIDIRECTIONAL','BIDIRECTIONAL'.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operator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Stores the operator attribute of this interconnector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dbo.generation_asset</w:t>
      </w:r>
    </w:p>
    <w:p>
      <w:pPr>
        <w:spacing w:after="140"/>
      </w:pPr>
      <w:r>
        <w:rPr>
          <w:sz w:val="20"/>
          <w:szCs w:val="20"/>
        </w:rPr>
        <w:t xml:space="preserve">Plant-level technical master data. The location table already has a POWER_PLANT location type for addressing/geography; this is the layer above it that captures what a trading desk actually cares about — fuel, capacity, technology, ownership — same role `vessel` plays for oil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generation_asset_id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generation asset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asset_code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Short business code identifying this generation asset record for lookups and integrations.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asset_name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generation asset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location_id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dbo.location. Enforces that this value must exist in location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balancing_authority_id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dbo.balancing_authority. Enforces that this value must exist in balancing_authority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zone_id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dbo.transmission_zone. Enforces that this value must exist in transmission_zone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owner_counterparty_id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dbo.counterparty. Enforces that this value must exist in counterparty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fuel_type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'GAS','COAL','NUCLEAR','HYDRO','WIND','SOLAR','BIOMASS','OIL','STORAGE','OTHER'.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technology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'CCGT','OCGT','PWR_REACTOR','ONSHORE_WIND','OFFSHORE_WIND','PV','BESS'.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nameplate_capacity_mw</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DECIMAL(14,2)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generation asset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commissioning_date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commissioning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decommissioning_date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decommissioning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dbo.load_shape_template</w:t>
      </w:r>
    </w:p>
    <w:p>
      <w:pPr>
        <w:spacing w:after="140"/>
      </w:pPr>
      <w:r>
        <w:rPr>
          <w:sz w:val="20"/>
          <w:szCs w:val="20"/>
        </w:rPr>
        <w:t xml:space="preserve">Defines standard delivery shapes. This is the table that makes power power: a trade isn't just a quantity, it's a quantity delivered according to a specific hourly pattern. timezone_basis matters because "peak hours" is a market convention (e.g. US peak = HE07-22 Mon-Fri local prevailing time, EU peak = 08:00-20:00 Mon-Fri CET) — same shape code can mean different actual hours in different balancing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load_shape_id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load shape template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shape_code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'BASELOAD','PEAK','OFFPEAK','5X16','7X8','2X16H','CUSTOM'.</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shape_name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load shape template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shape_type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'BASELOAD','PEAK','OFFPEAK','CUSTOM'.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applicable_days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'ALL','WEEKDAYS','WEEKENDS','MONDAY','TUESDAY', 'WEDNESDAY','THURSDAY','FRIDAY','SATURDAY','SUNDAY'.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start_hour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0-23, hour-ending or hour-beginning per timezone_basis convention.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end_hour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TINYINT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1-24, exclusive end of window.</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hours_per_day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DECIMAL(4,2)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Display convenience, e.g. 16.00 for a 5x16 peak shape.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timezone_basis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Which local convention defines start/end hour, e.g. 'America/New_York','Europe/Berlin'.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dbo.power_product_detail</w:t>
      </w:r>
    </w:p>
    <w:p>
      <w:pPr>
        <w:spacing w:after="140"/>
      </w:pPr>
      <w:r>
        <w:rPr>
          <w:sz w:val="20"/>
          <w:szCs w:val="20"/>
        </w:rPr>
        <w:t xml:space="preserve">1:1 extension of `product` for power-specific attributes. Only populated when product.commodity_id resolves to the POWER commodity.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product_id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power product detail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default_load_shape_id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dbo.load_shape_template. Enforces that this value must exist in load_shape_template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voltage_level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'LOW','MEDIUM','HIGH','EXTRA_HIGH',NULL.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settlement_point_type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'NODE','ZONE','HUB','SYSTEM',NULL.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default_balancing_authority_id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dbo.balancing_authority. Enforces that this value must exist in balancing_authority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default_zone_id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dbo.transmission_zone. Enforces that this value must exist in transmission_zone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is_ancillary_service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Boolean flag — is ancillary service.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dbo.trade_power_detail</w:t>
      </w:r>
    </w:p>
    <w:p>
      <w:pPr>
        <w:spacing w:after="140"/>
      </w:pPr>
      <w:r>
        <w:rPr>
          <w:sz w:val="20"/>
          <w:szCs w:val="20"/>
        </w:rPr>
        <w:t xml:space="preserve">1:1 power extension to `trade`. Only populated when trade.commodity_type = 'POWER'. Same role trade_oil_detail plays for oil and trade_freight_detail plays for freight.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trade_id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trade power detail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delivery_point_type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'NODE','ZONE','HUB','INTERCONNECTOR'.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delivery_location_id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Grid node, when delivery_point_type = 'NODE'.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zone_id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When delivery_point_type IN ('ZONE','HUB').</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balancing_authority_id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dbo.balancing_authority. Enforces that this value must exist in balancing_authority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load_shape_id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dbo.load_shape_template. Enforces that this value must exist in load_shape_template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contract_capacity_mw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The MW level of the trade under its load shape.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delivery_start_date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Date/time value — records when delivery start occurred.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delivery_end_date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Date/time value — records when delivery end occurred.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firmness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'FIRM','INTERRUPTIBLE','AS_AVAILABLE'.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source_generation_asset_id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PPA / physical source, if directly tied to a plant.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transmission_interconnector_id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 cross-zone transmission trades.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dbo.power_schedule_cycle</w:t>
      </w:r>
    </w:p>
    <w:p>
      <w:pPr>
        <w:spacing w:after="140"/>
      </w:pPr>
      <w:r>
        <w:rPr>
          <w:sz w:val="20"/>
          <w:szCs w:val="20"/>
        </w:rPr>
        <w:t xml:space="preserve">Day-ahead / intraday / real-time gate closure times per balancing authority. Mirrors pipeline_cycle's role for gas/oil pipeline nominations.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cycle_id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power schedule cycle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balancing_authority_id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dbo.balancing_authority. Enforces that this value must exist in balancing_authority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cycle_code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'DA','ID','RT','HA'.</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cycle_name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Human-readable name for this power schedule cycle record, shown in UI and reports.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cycle_type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'DAY_AHEAD','INTRADAY','REAL_TIME','HOUR_AHEAD'.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nomination_deadline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Traders must submit by this time.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gate_closure_time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Market closes for this cycle.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publication_time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Results/schedules published.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calendar_id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Holiday calendar governing which days this cycle runs.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applies_to_days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'ALL','WEEKDAYS','WEEKENDS','MONDAY','TUESDAY', 'WEDNESDAY','THURSDAY','FRIDAY','SATURDAY','SUNDAY'.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VARCHAR(500)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r>
        <w:br w:type="page"/>
      </w:r>
    </w:p>
    <w:p>
      <w:pPr>
        <w:pStyle w:val="Heading1"/>
        <w:spacing w:after="120" w:before="200"/>
      </w:pPr>
      <w:r>
        <w:t xml:space="preserve">Power Transmission Rights (FTR/CRR/TCC)</w:t>
      </w:r>
    </w:p>
    <w:p>
      <w:pPr>
        <w:spacing w:after="240"/>
      </w:pPr>
      <w:r>
        <w:rPr>
          <w:i/>
          <w:iCs/>
          <w:sz w:val="19"/>
          <w:szCs w:val="19"/>
        </w:rPr>
        <w:t xml:space="preserve">Source script: </w:t>
      </w:r>
      <w:r>
        <w:rPr>
          <w:rFonts w:ascii="Consolas" w:cs="Consolas" w:eastAsia="Consolas" w:hAnsi="Consolas"/>
          <w:i/>
          <w:iCs/>
          <w:sz w:val="19"/>
          <w:szCs w:val="19"/>
        </w:rPr>
        <w:t xml:space="preserve">ETRM_Power_Transmission_Rights_Patch_v1_0.sql</w:t>
      </w:r>
      <w:r>
        <w:rPr>
          <w:i/>
          <w:iCs/>
          <w:sz w:val="19"/>
          <w:szCs w:val="19"/>
        </w:rPr>
        <w:t xml:space="preserve">   •   2 tables</w:t>
      </w:r>
    </w:p>
    <w:p>
      <w:pPr>
        <w:pStyle w:val="Heading2"/>
        <w:spacing w:after="80" w:before="200"/>
      </w:pPr>
      <w:r>
        <w:rPr>
          <w:rFonts w:ascii="Consolas" w:cs="Consolas" w:eastAsia="Consolas" w:hAnsi="Consolas"/>
        </w:rPr>
        <w:t xml:space="preserve">dbo.transmission_right_type</w:t>
      </w:r>
    </w:p>
    <w:p>
      <w:pPr>
        <w:spacing w:after="140"/>
      </w:pPr>
      <w:r>
        <w:rPr>
          <w:sz w:val="20"/>
          <w:szCs w:val="20"/>
        </w:rPr>
        <w:t xml:space="preserve">Reference table for the different regional names this same instrument trades under. PJM/MISO call it FTR, CAISO/ERCOT call it CRR, NYISO calls it TCC — same economic concept, different market terminology and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right_type_id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transmission right type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type_code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'FTR','CRR','TCC','ARR'.</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type_name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Human-readable name for this transmission right type record, shown in UI and reports.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home_balancing_authority_id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Typical/originating market for this terminology — informational, not a hard restriction.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settlement_basis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'DA_LMP_DIFFERENCE', 'RT_LMP_DIFFERENCE'.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allocation_method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'AUCTION', 'ARR_ALLOCATION', 'BILATERAL_TRANSFER'.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Descriptive text providing additional context for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BIT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Soft-delete / enable flag. Inactive rows are kept for history but excluded from normal selection lists.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pPr>
        <w:pStyle w:val="Heading2"/>
        <w:spacing w:after="80" w:before="200"/>
      </w:pPr>
      <w:r>
        <w:rPr>
          <w:rFonts w:ascii="Consolas" w:cs="Consolas" w:eastAsia="Consolas" w:hAnsi="Consolas"/>
        </w:rPr>
        <w:t xml:space="preserve">dbo.trade_transmission_right_detail</w:t>
      </w:r>
    </w:p>
    <w:p>
      <w:pPr>
        <w:spacing w:after="140"/>
      </w:pPr>
      <w:r>
        <w:rPr>
          <w:sz w:val="20"/>
          <w:szCs w:val="20"/>
        </w:rPr>
        <w:t xml:space="preserve">1:1 trade extension. Only populated when the trade is an FTR/CRR/TCC — identifiable by trade.commodity_type = 'POWER' and the presence of this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trade_id  [PK]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Primary key — uniquely identifies each trade transmission right detail row. Referenced by other tables as a foreign key.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right_type_id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Foreign key — links to dbo.transmission_right_type. Enforces that this value must exist in transmission_right_type before the row can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source_zone_id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Where the right "buys" power from.</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sink_zone_id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Where the right "delivers" power to.</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balancing_authority_id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Foreign key — links to dbo.balancing_authority. Enforces that this value must exist in balancing_authority before the row can be saved.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right_form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'OBLIGATION','OPTION'.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mw_quantity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DECIMAL(14,4)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Stores the mw quantity attribute of this trade transmission right detail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delivery_period_id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INT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FK period — the auction round's delivery timeframe (e.g. CAL-27, Q1-27).</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auction_round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E.g. 'ANNUAL_2027_ROUND1', NULL if acquired via ARR or bilateral transfer.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allocation_method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Controlled value — must be one of: 'AUCTION','ARR_ALLOCATION','BILATERAL_TRANSFER',NULL. Enforced by a CHECK constraint so invalid states can't be saved.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Optional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Free-text field for analyst/operations commentary not captured elsewhere.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when this record was first created. Required for regulatory traceability.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created_by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created this record.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nsolas" w:cs="Consolas" w:eastAsia="Consolas" w:hAnsi="Consolas"/>
                <w:b w:val="false"/>
                <w:bCs w:val="false"/>
                <w:sz w:val="17"/>
                <w:szCs w:val="17"/>
              </w:rPr>
              <w:t xml:space="preserve">DATETIME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Audit trail — UTC timestamp of the most recent change to this record.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updated_by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7"/>
                <w:szCs w:val="17"/>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Required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Audit trail — user or service that made the most recent change.</w:t>
            </w:r>
          </w:p>
        </w:tc>
      </w:tr>
    </w:tbl>
    <w:p>
      <w:pPr>
        <w:spacing w:after="200"/>
      </w:pP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ETRM Power Schema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2026-06-20T19:02:11.080Z</dcterms:created>
  <dcterms:modified xsi:type="dcterms:W3CDTF">2026-06-20T19:02:11.081Z</dcterms:modified>
</cp:coreProperties>
</file>

<file path=docProps/custom.xml><?xml version="1.0" encoding="utf-8"?>
<Properties xmlns="http://schemas.openxmlformats.org/officeDocument/2006/custom-properties" xmlns:vt="http://schemas.openxmlformats.org/officeDocument/2006/docPropsVTypes"/>
</file>