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9F24" w14:textId="77777777" w:rsidR="00FD4E5E" w:rsidRDefault="00FD4E5E" w:rsidP="008D7606">
      <w:pPr>
        <w:jc w:val="center"/>
        <w:rPr>
          <w:lang w:val="en-US"/>
        </w:rPr>
      </w:pPr>
    </w:p>
    <w:p w14:paraId="7F845ADE" w14:textId="77777777" w:rsidR="008D7606" w:rsidRDefault="008D7606" w:rsidP="008D7606">
      <w:pPr>
        <w:jc w:val="center"/>
        <w:rPr>
          <w:lang w:val="en-US"/>
        </w:rPr>
      </w:pPr>
    </w:p>
    <w:p w14:paraId="2A01D0F2" w14:textId="77777777" w:rsidR="008D7606" w:rsidRPr="008D7606" w:rsidRDefault="008D7606" w:rsidP="008D7606">
      <w:pPr>
        <w:jc w:val="center"/>
        <w:rPr>
          <w:rFonts w:ascii="Times New Roman" w:hAnsi="Times New Roman" w:cs="Times New Roman"/>
          <w:b/>
          <w:bCs/>
          <w:sz w:val="40"/>
          <w:szCs w:val="40"/>
          <w:lang w:val="en-US"/>
        </w:rPr>
      </w:pPr>
      <w:r w:rsidRPr="008D7606">
        <w:rPr>
          <w:rFonts w:ascii="Times New Roman" w:hAnsi="Times New Roman" w:cs="Times New Roman"/>
          <w:b/>
          <w:bCs/>
          <w:sz w:val="40"/>
          <w:szCs w:val="40"/>
          <w:lang w:val="en-US"/>
        </w:rPr>
        <w:t>Case Stud</w:t>
      </w:r>
      <w:r w:rsidRPr="008D7606">
        <w:rPr>
          <w:rFonts w:ascii="Times New Roman" w:hAnsi="Times New Roman" w:cs="Times New Roman"/>
          <w:b/>
          <w:bCs/>
          <w:sz w:val="40"/>
          <w:szCs w:val="40"/>
          <w:lang w:val="en-US"/>
        </w:rPr>
        <w:t>y</w:t>
      </w:r>
    </w:p>
    <w:p w14:paraId="56A44198" w14:textId="380B712E" w:rsidR="008D7606" w:rsidRDefault="008D7606" w:rsidP="008D7606">
      <w:pPr>
        <w:jc w:val="center"/>
        <w:rPr>
          <w:rFonts w:ascii="Times New Roman" w:hAnsi="Times New Roman" w:cs="Times New Roman"/>
          <w:b/>
          <w:bCs/>
          <w:sz w:val="40"/>
          <w:szCs w:val="40"/>
          <w:lang w:val="en-US"/>
        </w:rPr>
      </w:pPr>
      <w:r w:rsidRPr="008D7606">
        <w:rPr>
          <w:rFonts w:ascii="Times New Roman" w:hAnsi="Times New Roman" w:cs="Times New Roman"/>
          <w:b/>
          <w:bCs/>
          <w:sz w:val="40"/>
          <w:szCs w:val="40"/>
          <w:lang w:val="en-US"/>
        </w:rPr>
        <w:t xml:space="preserve"> Hadley v. Baxendale (1854)</w:t>
      </w:r>
    </w:p>
    <w:p w14:paraId="017A9DC1" w14:textId="77777777" w:rsidR="008D7606" w:rsidRDefault="008D7606" w:rsidP="008D7606">
      <w:pPr>
        <w:rPr>
          <w:rFonts w:ascii="Times New Roman" w:hAnsi="Times New Roman" w:cs="Times New Roman"/>
          <w:b/>
          <w:bCs/>
          <w:sz w:val="40"/>
          <w:szCs w:val="40"/>
          <w:lang w:val="en-US"/>
        </w:rPr>
      </w:pPr>
    </w:p>
    <w:p w14:paraId="7763ED89" w14:textId="77777777" w:rsidR="008D7606" w:rsidRDefault="008D7606" w:rsidP="008D7606">
      <w:pPr>
        <w:rPr>
          <w:rFonts w:ascii="Times New Roman" w:hAnsi="Times New Roman" w:cs="Times New Roman"/>
          <w:b/>
          <w:bCs/>
          <w:sz w:val="40"/>
          <w:szCs w:val="40"/>
          <w:lang w:val="en-US"/>
        </w:rPr>
      </w:pPr>
    </w:p>
    <w:p w14:paraId="474B3D08" w14:textId="77777777" w:rsidR="008D7606" w:rsidRDefault="008D7606" w:rsidP="008D7606">
      <w:pPr>
        <w:rPr>
          <w:rFonts w:ascii="Times New Roman" w:hAnsi="Times New Roman" w:cs="Times New Roman"/>
          <w:b/>
          <w:bCs/>
          <w:sz w:val="40"/>
          <w:szCs w:val="40"/>
          <w:lang w:val="en-US"/>
        </w:rPr>
      </w:pPr>
    </w:p>
    <w:p w14:paraId="0D6CDA78" w14:textId="77777777" w:rsidR="008D7606" w:rsidRDefault="008D7606" w:rsidP="008D7606">
      <w:pPr>
        <w:rPr>
          <w:rFonts w:ascii="Times New Roman" w:hAnsi="Times New Roman" w:cs="Times New Roman"/>
          <w:b/>
          <w:bCs/>
          <w:sz w:val="40"/>
          <w:szCs w:val="40"/>
          <w:lang w:val="en-US"/>
        </w:rPr>
      </w:pPr>
    </w:p>
    <w:p w14:paraId="106D2327" w14:textId="77777777" w:rsidR="008D7606" w:rsidRDefault="008D7606" w:rsidP="008D7606">
      <w:pPr>
        <w:rPr>
          <w:rFonts w:ascii="Times New Roman" w:hAnsi="Times New Roman" w:cs="Times New Roman"/>
          <w:b/>
          <w:bCs/>
          <w:sz w:val="40"/>
          <w:szCs w:val="40"/>
          <w:lang w:val="en-US"/>
        </w:rPr>
      </w:pPr>
    </w:p>
    <w:p w14:paraId="4A7DFDE9" w14:textId="77777777" w:rsidR="008D7606" w:rsidRDefault="008D7606" w:rsidP="008D7606">
      <w:pPr>
        <w:rPr>
          <w:rFonts w:ascii="Times New Roman" w:hAnsi="Times New Roman" w:cs="Times New Roman"/>
          <w:b/>
          <w:bCs/>
          <w:sz w:val="40"/>
          <w:szCs w:val="40"/>
          <w:lang w:val="en-US"/>
        </w:rPr>
      </w:pPr>
    </w:p>
    <w:p w14:paraId="56549F12" w14:textId="77777777" w:rsidR="008D7606" w:rsidRDefault="008D7606" w:rsidP="008D7606">
      <w:pPr>
        <w:rPr>
          <w:rFonts w:ascii="Times New Roman" w:hAnsi="Times New Roman" w:cs="Times New Roman"/>
          <w:b/>
          <w:bCs/>
          <w:sz w:val="40"/>
          <w:szCs w:val="40"/>
          <w:lang w:val="en-US"/>
        </w:rPr>
      </w:pPr>
    </w:p>
    <w:p w14:paraId="23F5100A" w14:textId="77777777" w:rsidR="008D7606" w:rsidRDefault="008D7606" w:rsidP="008D7606">
      <w:pPr>
        <w:rPr>
          <w:rFonts w:ascii="Times New Roman" w:hAnsi="Times New Roman" w:cs="Times New Roman"/>
          <w:b/>
          <w:bCs/>
          <w:sz w:val="40"/>
          <w:szCs w:val="40"/>
          <w:lang w:val="en-US"/>
        </w:rPr>
      </w:pPr>
    </w:p>
    <w:p w14:paraId="2404EF56" w14:textId="77777777" w:rsidR="008D7606" w:rsidRDefault="008D7606" w:rsidP="008D7606">
      <w:pPr>
        <w:rPr>
          <w:rFonts w:ascii="Times New Roman" w:hAnsi="Times New Roman" w:cs="Times New Roman"/>
          <w:b/>
          <w:bCs/>
          <w:sz w:val="40"/>
          <w:szCs w:val="40"/>
          <w:lang w:val="en-US"/>
        </w:rPr>
      </w:pPr>
    </w:p>
    <w:p w14:paraId="7F800D31" w14:textId="77777777" w:rsidR="008D7606" w:rsidRDefault="008D7606" w:rsidP="008D7606">
      <w:pPr>
        <w:rPr>
          <w:rFonts w:ascii="Times New Roman" w:hAnsi="Times New Roman" w:cs="Times New Roman"/>
          <w:b/>
          <w:bCs/>
          <w:sz w:val="40"/>
          <w:szCs w:val="40"/>
          <w:lang w:val="en-US"/>
        </w:rPr>
      </w:pPr>
    </w:p>
    <w:p w14:paraId="020618DB" w14:textId="77777777" w:rsidR="008D7606" w:rsidRDefault="008D7606" w:rsidP="008D7606">
      <w:pPr>
        <w:rPr>
          <w:rFonts w:ascii="Times New Roman" w:hAnsi="Times New Roman" w:cs="Times New Roman"/>
          <w:b/>
          <w:bCs/>
          <w:sz w:val="40"/>
          <w:szCs w:val="40"/>
          <w:lang w:val="en-US"/>
        </w:rPr>
      </w:pPr>
    </w:p>
    <w:p w14:paraId="3844118F" w14:textId="7734EADD" w:rsidR="008D7606" w:rsidRDefault="008D7606" w:rsidP="008D7606">
      <w:pPr>
        <w:rPr>
          <w:rFonts w:ascii="Times New Roman" w:hAnsi="Times New Roman" w:cs="Times New Roman"/>
          <w:sz w:val="32"/>
          <w:szCs w:val="32"/>
          <w:lang w:val="en-US"/>
        </w:rPr>
      </w:pPr>
      <w:r>
        <w:rPr>
          <w:rFonts w:ascii="Times New Roman" w:hAnsi="Times New Roman" w:cs="Times New Roman"/>
          <w:sz w:val="32"/>
          <w:szCs w:val="32"/>
          <w:lang w:val="en-US"/>
        </w:rPr>
        <w:t>Name: Dharik A</w:t>
      </w:r>
    </w:p>
    <w:p w14:paraId="135FE4A0" w14:textId="0EA019C0" w:rsidR="008D7606" w:rsidRDefault="008D7606" w:rsidP="008D7606">
      <w:pPr>
        <w:rPr>
          <w:rFonts w:ascii="Times New Roman" w:hAnsi="Times New Roman" w:cs="Times New Roman"/>
          <w:sz w:val="32"/>
          <w:szCs w:val="32"/>
          <w:lang w:val="en-US"/>
        </w:rPr>
      </w:pPr>
      <w:r>
        <w:rPr>
          <w:rFonts w:ascii="Times New Roman" w:hAnsi="Times New Roman" w:cs="Times New Roman"/>
          <w:sz w:val="32"/>
          <w:szCs w:val="32"/>
          <w:lang w:val="en-US"/>
        </w:rPr>
        <w:t>Class: 2</w:t>
      </w:r>
      <w:r w:rsidRPr="008D7606">
        <w:rPr>
          <w:rFonts w:ascii="Times New Roman" w:hAnsi="Times New Roman" w:cs="Times New Roman"/>
          <w:sz w:val="32"/>
          <w:szCs w:val="32"/>
          <w:vertAlign w:val="superscript"/>
          <w:lang w:val="en-US"/>
        </w:rPr>
        <w:t>nd</w:t>
      </w:r>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Bcom</w:t>
      </w:r>
      <w:proofErr w:type="spellEnd"/>
      <w:r>
        <w:rPr>
          <w:rFonts w:ascii="Times New Roman" w:hAnsi="Times New Roman" w:cs="Times New Roman"/>
          <w:sz w:val="32"/>
          <w:szCs w:val="32"/>
          <w:lang w:val="en-US"/>
        </w:rPr>
        <w:t xml:space="preserve"> Honours </w:t>
      </w:r>
    </w:p>
    <w:p w14:paraId="751FE5EE" w14:textId="614D4602" w:rsidR="008D7606" w:rsidRDefault="008D7606" w:rsidP="008D7606">
      <w:pPr>
        <w:rPr>
          <w:rFonts w:ascii="Times New Roman" w:hAnsi="Times New Roman" w:cs="Times New Roman"/>
          <w:sz w:val="32"/>
          <w:szCs w:val="32"/>
          <w:lang w:val="en-US"/>
        </w:rPr>
      </w:pPr>
      <w:r>
        <w:rPr>
          <w:rFonts w:ascii="Times New Roman" w:hAnsi="Times New Roman" w:cs="Times New Roman"/>
          <w:sz w:val="32"/>
          <w:szCs w:val="32"/>
          <w:lang w:val="en-US"/>
        </w:rPr>
        <w:t>Roll no: 2550005</w:t>
      </w:r>
    </w:p>
    <w:p w14:paraId="0FE444F8" w14:textId="519848DC" w:rsidR="008D7606" w:rsidRDefault="008D7606" w:rsidP="008D7606">
      <w:pPr>
        <w:rPr>
          <w:rFonts w:ascii="Times New Roman" w:hAnsi="Times New Roman" w:cs="Times New Roman"/>
          <w:sz w:val="32"/>
          <w:szCs w:val="32"/>
          <w:lang w:val="en-US"/>
        </w:rPr>
      </w:pPr>
      <w:r>
        <w:rPr>
          <w:rFonts w:ascii="Times New Roman" w:hAnsi="Times New Roman" w:cs="Times New Roman"/>
          <w:sz w:val="32"/>
          <w:szCs w:val="32"/>
          <w:lang w:val="en-US"/>
        </w:rPr>
        <w:t xml:space="preserve">Face Prep Campus </w:t>
      </w:r>
    </w:p>
    <w:p w14:paraId="011416E8" w14:textId="1777D98C" w:rsidR="008D7606" w:rsidRDefault="008D7606" w:rsidP="008D7606">
      <w:pPr>
        <w:rPr>
          <w:rFonts w:ascii="Times New Roman" w:hAnsi="Times New Roman" w:cs="Times New Roman"/>
          <w:sz w:val="32"/>
          <w:szCs w:val="32"/>
          <w:lang w:val="en-US"/>
        </w:rPr>
      </w:pPr>
      <w:r>
        <w:rPr>
          <w:rFonts w:ascii="Times New Roman" w:hAnsi="Times New Roman" w:cs="Times New Roman"/>
          <w:sz w:val="32"/>
          <w:szCs w:val="32"/>
          <w:lang w:val="en-US"/>
        </w:rPr>
        <w:t xml:space="preserve">Kamaraj College </w:t>
      </w:r>
    </w:p>
    <w:p w14:paraId="4610A50F" w14:textId="77777777" w:rsidR="008D7606" w:rsidRDefault="008D7606" w:rsidP="008D7606">
      <w:pPr>
        <w:rPr>
          <w:rFonts w:ascii="Times New Roman" w:hAnsi="Times New Roman" w:cs="Times New Roman"/>
          <w:sz w:val="32"/>
          <w:szCs w:val="32"/>
          <w:lang w:val="en-US"/>
        </w:rPr>
      </w:pPr>
    </w:p>
    <w:p w14:paraId="16E176E6" w14:textId="77777777" w:rsidR="008D7606" w:rsidRDefault="008D7606" w:rsidP="008D7606">
      <w:pPr>
        <w:rPr>
          <w:rFonts w:ascii="Times New Roman" w:hAnsi="Times New Roman" w:cs="Times New Roman"/>
          <w:sz w:val="32"/>
          <w:szCs w:val="32"/>
          <w:lang w:val="en-US"/>
        </w:rPr>
      </w:pPr>
    </w:p>
    <w:p w14:paraId="7481DDDD" w14:textId="77777777" w:rsidR="008D7606" w:rsidRDefault="008D7606" w:rsidP="008D7606">
      <w:pPr>
        <w:rPr>
          <w:rFonts w:ascii="Times New Roman" w:hAnsi="Times New Roman" w:cs="Times New Roman"/>
          <w:sz w:val="32"/>
          <w:szCs w:val="32"/>
          <w:lang w:val="en-US"/>
        </w:rPr>
      </w:pPr>
    </w:p>
    <w:p w14:paraId="0E9C8D5F" w14:textId="77777777" w:rsidR="008D7606" w:rsidRDefault="008D7606" w:rsidP="008D7606">
      <w:pPr>
        <w:rPr>
          <w:rFonts w:ascii="Times New Roman" w:hAnsi="Times New Roman" w:cs="Times New Roman"/>
          <w:sz w:val="32"/>
          <w:szCs w:val="32"/>
          <w:lang w:val="en-US"/>
        </w:rPr>
      </w:pPr>
    </w:p>
    <w:p w14:paraId="1ED8D16A" w14:textId="1AEDDED5" w:rsidR="008D7606" w:rsidRPr="00E75FA2" w:rsidRDefault="008D7606" w:rsidP="008D7606">
      <w:pPr>
        <w:rPr>
          <w:rFonts w:ascii="Times New Roman" w:hAnsi="Times New Roman" w:cs="Times New Roman"/>
          <w:b/>
          <w:bCs/>
          <w:sz w:val="32"/>
          <w:szCs w:val="32"/>
          <w:lang w:val="en-US"/>
        </w:rPr>
      </w:pPr>
      <w:r w:rsidRPr="00184E87">
        <w:rPr>
          <w:rFonts w:ascii="Times New Roman" w:hAnsi="Times New Roman" w:cs="Times New Roman"/>
          <w:b/>
          <w:bCs/>
          <w:sz w:val="32"/>
          <w:szCs w:val="32"/>
          <w:lang w:val="en-US"/>
        </w:rPr>
        <w:t>Introduction</w:t>
      </w:r>
    </w:p>
    <w:p w14:paraId="7EE67F02" w14:textId="77777777" w:rsidR="008D7606" w:rsidRPr="008D7606" w:rsidRDefault="008D7606" w:rsidP="00184E87">
      <w:pPr>
        <w:jc w:val="both"/>
        <w:rPr>
          <w:rFonts w:ascii="Times New Roman" w:hAnsi="Times New Roman" w:cs="Times New Roman"/>
          <w:sz w:val="32"/>
          <w:szCs w:val="32"/>
          <w:lang w:val="en-US"/>
        </w:rPr>
      </w:pPr>
      <w:r w:rsidRPr="008D7606">
        <w:rPr>
          <w:rFonts w:ascii="Times New Roman" w:hAnsi="Times New Roman" w:cs="Times New Roman"/>
          <w:sz w:val="32"/>
          <w:szCs w:val="32"/>
          <w:lang w:val="en-US"/>
        </w:rPr>
        <w:t>Hadley v. Baxendale (1854) is one of the most important cases in contract law. It explains when a person who breaks a contract is responsible for paying compensation. The case established that compensation can only be claimed for losses that could reasonably be expected when the contract was made. This principle is still used in courts around the world.</w:t>
      </w:r>
    </w:p>
    <w:p w14:paraId="6BA37612" w14:textId="77777777" w:rsidR="008D7606" w:rsidRPr="008D7606" w:rsidRDefault="008D7606" w:rsidP="008D7606">
      <w:pPr>
        <w:rPr>
          <w:rFonts w:ascii="Times New Roman" w:hAnsi="Times New Roman" w:cs="Times New Roman"/>
          <w:sz w:val="32"/>
          <w:szCs w:val="32"/>
          <w:lang w:val="en-US"/>
        </w:rPr>
      </w:pPr>
    </w:p>
    <w:p w14:paraId="7DECEFB8" w14:textId="328A5869" w:rsidR="008D7606" w:rsidRPr="00E75FA2" w:rsidRDefault="008D7606" w:rsidP="008D7606">
      <w:pPr>
        <w:rPr>
          <w:rFonts w:ascii="Times New Roman" w:hAnsi="Times New Roman" w:cs="Times New Roman"/>
          <w:b/>
          <w:bCs/>
          <w:sz w:val="32"/>
          <w:szCs w:val="32"/>
          <w:lang w:val="en-US"/>
        </w:rPr>
      </w:pPr>
      <w:r w:rsidRPr="00184E87">
        <w:rPr>
          <w:rFonts w:ascii="Times New Roman" w:hAnsi="Times New Roman" w:cs="Times New Roman"/>
          <w:b/>
          <w:bCs/>
          <w:sz w:val="32"/>
          <w:szCs w:val="32"/>
          <w:lang w:val="en-US"/>
        </w:rPr>
        <w:t>Facts of the Case</w:t>
      </w:r>
    </w:p>
    <w:p w14:paraId="05B555B7"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Mr. Hadley owned a flour mill. One day, the crankshaft of the mill broke, causing the mill to stop working. He sent the broken shaft through a transport company, Baxendale, so that a new one could be made quickly. The transport company delayed the delivery because of its own mistake. As a result, the mill remained closed for several extra days, and Hadley lost business profits. He filed a case demanding compensation for the financial loss.</w:t>
      </w:r>
    </w:p>
    <w:p w14:paraId="18A6084D" w14:textId="77777777" w:rsidR="008D7606" w:rsidRPr="008D7606" w:rsidRDefault="008D7606" w:rsidP="008D7606">
      <w:pPr>
        <w:rPr>
          <w:rFonts w:ascii="Times New Roman" w:hAnsi="Times New Roman" w:cs="Times New Roman"/>
          <w:sz w:val="32"/>
          <w:szCs w:val="32"/>
          <w:lang w:val="en-US"/>
        </w:rPr>
      </w:pPr>
    </w:p>
    <w:p w14:paraId="759FB785" w14:textId="006E957B" w:rsidR="008D7606" w:rsidRPr="00E75FA2" w:rsidRDefault="008D7606" w:rsidP="008D7606">
      <w:pPr>
        <w:rPr>
          <w:rFonts w:ascii="Times New Roman" w:hAnsi="Times New Roman" w:cs="Times New Roman"/>
          <w:b/>
          <w:bCs/>
          <w:sz w:val="32"/>
          <w:szCs w:val="32"/>
          <w:lang w:val="en-US"/>
        </w:rPr>
      </w:pPr>
      <w:r w:rsidRPr="00557E29">
        <w:rPr>
          <w:rFonts w:ascii="Times New Roman" w:hAnsi="Times New Roman" w:cs="Times New Roman"/>
          <w:b/>
          <w:bCs/>
          <w:sz w:val="32"/>
          <w:szCs w:val="32"/>
          <w:lang w:val="en-US"/>
        </w:rPr>
        <w:t>Legal Issue</w:t>
      </w:r>
    </w:p>
    <w:p w14:paraId="0B505C43"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The main legal question was whether Baxendale should be held responsible for the profits lost by Hadley because of the delay in delivering the crankshaft.</w:t>
      </w:r>
    </w:p>
    <w:p w14:paraId="24F01C08" w14:textId="77777777" w:rsidR="008D7606" w:rsidRDefault="008D7606" w:rsidP="008D7606">
      <w:pPr>
        <w:rPr>
          <w:rFonts w:ascii="Times New Roman" w:hAnsi="Times New Roman" w:cs="Times New Roman"/>
          <w:sz w:val="32"/>
          <w:szCs w:val="32"/>
          <w:lang w:val="en-US"/>
        </w:rPr>
      </w:pPr>
    </w:p>
    <w:p w14:paraId="59724E3A" w14:textId="77777777" w:rsidR="00557E29" w:rsidRDefault="00557E29" w:rsidP="008D7606">
      <w:pPr>
        <w:rPr>
          <w:rFonts w:ascii="Times New Roman" w:hAnsi="Times New Roman" w:cs="Times New Roman"/>
          <w:sz w:val="32"/>
          <w:szCs w:val="32"/>
          <w:lang w:val="en-US"/>
        </w:rPr>
      </w:pPr>
    </w:p>
    <w:p w14:paraId="6BC3FA71" w14:textId="77777777" w:rsidR="00E75FA2" w:rsidRDefault="00E75FA2" w:rsidP="008D7606">
      <w:pPr>
        <w:rPr>
          <w:rFonts w:ascii="Times New Roman" w:hAnsi="Times New Roman" w:cs="Times New Roman"/>
          <w:sz w:val="32"/>
          <w:szCs w:val="32"/>
          <w:lang w:val="en-US"/>
        </w:rPr>
      </w:pPr>
    </w:p>
    <w:p w14:paraId="3521978E" w14:textId="77777777" w:rsidR="00E75FA2" w:rsidRPr="008D7606" w:rsidRDefault="00E75FA2" w:rsidP="008D7606">
      <w:pPr>
        <w:rPr>
          <w:rFonts w:ascii="Times New Roman" w:hAnsi="Times New Roman" w:cs="Times New Roman"/>
          <w:sz w:val="32"/>
          <w:szCs w:val="32"/>
          <w:lang w:val="en-US"/>
        </w:rPr>
      </w:pPr>
    </w:p>
    <w:p w14:paraId="2A979317" w14:textId="64BFFE4C" w:rsidR="008D7606" w:rsidRPr="00E75FA2" w:rsidRDefault="008D7606" w:rsidP="008D7606">
      <w:pPr>
        <w:rPr>
          <w:rFonts w:ascii="Times New Roman" w:hAnsi="Times New Roman" w:cs="Times New Roman"/>
          <w:b/>
          <w:bCs/>
          <w:sz w:val="32"/>
          <w:szCs w:val="32"/>
          <w:lang w:val="en-US"/>
        </w:rPr>
      </w:pPr>
      <w:r w:rsidRPr="00557E29">
        <w:rPr>
          <w:rFonts w:ascii="Times New Roman" w:hAnsi="Times New Roman" w:cs="Times New Roman"/>
          <w:b/>
          <w:bCs/>
          <w:sz w:val="32"/>
          <w:szCs w:val="32"/>
          <w:lang w:val="en-US"/>
        </w:rPr>
        <w:lastRenderedPageBreak/>
        <w:t>Judgment</w:t>
      </w:r>
    </w:p>
    <w:p w14:paraId="13F2AF60"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 xml:space="preserve">The court decided in </w:t>
      </w:r>
      <w:proofErr w:type="spellStart"/>
      <w:r w:rsidRPr="008D7606">
        <w:rPr>
          <w:rFonts w:ascii="Times New Roman" w:hAnsi="Times New Roman" w:cs="Times New Roman"/>
          <w:sz w:val="32"/>
          <w:szCs w:val="32"/>
          <w:lang w:val="en-US"/>
        </w:rPr>
        <w:t>favour</w:t>
      </w:r>
      <w:proofErr w:type="spellEnd"/>
      <w:r w:rsidRPr="008D7606">
        <w:rPr>
          <w:rFonts w:ascii="Times New Roman" w:hAnsi="Times New Roman" w:cs="Times New Roman"/>
          <w:sz w:val="32"/>
          <w:szCs w:val="32"/>
          <w:lang w:val="en-US"/>
        </w:rPr>
        <w:t xml:space="preserve"> of Baxendale. It ruled that the transport company was not responsible for the loss of profits because it had not been informed that the mill would remain completely closed until the shaft was delivered. Since the special situation was unknown to the company, it could not have expected such a loss.</w:t>
      </w:r>
    </w:p>
    <w:p w14:paraId="603EBD6E" w14:textId="77777777" w:rsidR="008D7606" w:rsidRPr="008D7606" w:rsidRDefault="008D7606" w:rsidP="008D7606">
      <w:pPr>
        <w:rPr>
          <w:rFonts w:ascii="Times New Roman" w:hAnsi="Times New Roman" w:cs="Times New Roman"/>
          <w:sz w:val="32"/>
          <w:szCs w:val="32"/>
          <w:lang w:val="en-US"/>
        </w:rPr>
      </w:pPr>
    </w:p>
    <w:p w14:paraId="37EBD13D" w14:textId="348B900A" w:rsidR="008D7606" w:rsidRPr="00E75FA2" w:rsidRDefault="008D7606" w:rsidP="008D7606">
      <w:pPr>
        <w:rPr>
          <w:rFonts w:ascii="Times New Roman" w:hAnsi="Times New Roman" w:cs="Times New Roman"/>
          <w:b/>
          <w:bCs/>
          <w:sz w:val="32"/>
          <w:szCs w:val="32"/>
          <w:lang w:val="en-US"/>
        </w:rPr>
      </w:pPr>
      <w:r w:rsidRPr="00557E29">
        <w:rPr>
          <w:rFonts w:ascii="Times New Roman" w:hAnsi="Times New Roman" w:cs="Times New Roman"/>
          <w:b/>
          <w:bCs/>
          <w:sz w:val="32"/>
          <w:szCs w:val="32"/>
          <w:lang w:val="en-US"/>
        </w:rPr>
        <w:t>Legal Principles</w:t>
      </w:r>
    </w:p>
    <w:p w14:paraId="22413E11" w14:textId="69218EB8"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The case introduced the rule of remoteness of damages. According to this rule:</w:t>
      </w:r>
    </w:p>
    <w:p w14:paraId="3BF6E054"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 A party can claim compensation for losses that naturally result from a breach of contract.</w:t>
      </w:r>
    </w:p>
    <w:p w14:paraId="0908BB4E"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 Compensation can also be claimed for special losses only if both parties were aware of those special circumstances when the contract was made.</w:t>
      </w:r>
    </w:p>
    <w:p w14:paraId="2F064913"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 Unexpected or unusual losses that were not communicated cannot normally be recovered.</w:t>
      </w:r>
    </w:p>
    <w:p w14:paraId="1F2E180D" w14:textId="77777777" w:rsidR="008D7606" w:rsidRPr="008D7606" w:rsidRDefault="008D7606" w:rsidP="008D7606">
      <w:pPr>
        <w:rPr>
          <w:rFonts w:ascii="Times New Roman" w:hAnsi="Times New Roman" w:cs="Times New Roman"/>
          <w:sz w:val="32"/>
          <w:szCs w:val="32"/>
          <w:lang w:val="en-US"/>
        </w:rPr>
      </w:pPr>
    </w:p>
    <w:p w14:paraId="06AE9F4F" w14:textId="476D26CC" w:rsidR="008D7606" w:rsidRPr="00E75FA2" w:rsidRDefault="008D7606" w:rsidP="008D7606">
      <w:pPr>
        <w:rPr>
          <w:rFonts w:ascii="Times New Roman" w:hAnsi="Times New Roman" w:cs="Times New Roman"/>
          <w:b/>
          <w:bCs/>
          <w:sz w:val="32"/>
          <w:szCs w:val="32"/>
          <w:lang w:val="en-US"/>
        </w:rPr>
      </w:pPr>
      <w:r w:rsidRPr="00557E29">
        <w:rPr>
          <w:rFonts w:ascii="Times New Roman" w:hAnsi="Times New Roman" w:cs="Times New Roman"/>
          <w:b/>
          <w:bCs/>
          <w:sz w:val="32"/>
          <w:szCs w:val="32"/>
          <w:lang w:val="en-US"/>
        </w:rPr>
        <w:t>Business Relevance</w:t>
      </w:r>
    </w:p>
    <w:p w14:paraId="74223C8A"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This case is highly relevant to modern business. Companies should clearly communicate any special risks or possible losses before entering into a contract. Businesses that provide transport, logistics, manufacturing, or other services should also understand the consequences of delays and maintain clear communication with customers. Proper contracts and timely information help reduce disputes.</w:t>
      </w:r>
    </w:p>
    <w:p w14:paraId="607965BA" w14:textId="77777777" w:rsidR="008D7606" w:rsidRDefault="008D7606" w:rsidP="008D7606">
      <w:pPr>
        <w:rPr>
          <w:rFonts w:ascii="Times New Roman" w:hAnsi="Times New Roman" w:cs="Times New Roman"/>
          <w:sz w:val="32"/>
          <w:szCs w:val="32"/>
          <w:lang w:val="en-US"/>
        </w:rPr>
      </w:pPr>
    </w:p>
    <w:p w14:paraId="718B3A93" w14:textId="77777777" w:rsidR="00E75FA2" w:rsidRPr="008D7606" w:rsidRDefault="00E75FA2" w:rsidP="008D7606">
      <w:pPr>
        <w:rPr>
          <w:rFonts w:ascii="Times New Roman" w:hAnsi="Times New Roman" w:cs="Times New Roman"/>
          <w:sz w:val="32"/>
          <w:szCs w:val="32"/>
          <w:lang w:val="en-US"/>
        </w:rPr>
      </w:pPr>
    </w:p>
    <w:p w14:paraId="5C9D6893" w14:textId="1DC1ADAA" w:rsidR="00E75FA2" w:rsidRPr="00E75FA2" w:rsidRDefault="008D7606" w:rsidP="008D7606">
      <w:pPr>
        <w:rPr>
          <w:rFonts w:ascii="Times New Roman" w:hAnsi="Times New Roman" w:cs="Times New Roman"/>
          <w:b/>
          <w:bCs/>
          <w:sz w:val="32"/>
          <w:szCs w:val="32"/>
          <w:lang w:val="en-US"/>
        </w:rPr>
      </w:pPr>
      <w:r w:rsidRPr="00557E29">
        <w:rPr>
          <w:rFonts w:ascii="Times New Roman" w:hAnsi="Times New Roman" w:cs="Times New Roman"/>
          <w:b/>
          <w:bCs/>
          <w:sz w:val="32"/>
          <w:szCs w:val="32"/>
          <w:lang w:val="en-US"/>
        </w:rPr>
        <w:lastRenderedPageBreak/>
        <w:t>Importance of the Case</w:t>
      </w:r>
    </w:p>
    <w:p w14:paraId="7207A784" w14:textId="77777777"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Hadley v. Baxendale is considered a landmark decision in contract law. It provides a fair rule for deciding compensation after a breach of contract. The principles from this case are still followed in many countries, including India, and are frequently referred to in business and commercial disputes.</w:t>
      </w:r>
    </w:p>
    <w:p w14:paraId="2AB26E70" w14:textId="77777777" w:rsidR="008D7606" w:rsidRPr="008D7606" w:rsidRDefault="008D7606" w:rsidP="008D7606">
      <w:pPr>
        <w:rPr>
          <w:rFonts w:ascii="Times New Roman" w:hAnsi="Times New Roman" w:cs="Times New Roman"/>
          <w:sz w:val="32"/>
          <w:szCs w:val="32"/>
          <w:lang w:val="en-US"/>
        </w:rPr>
      </w:pPr>
    </w:p>
    <w:p w14:paraId="2A79702C" w14:textId="2A301991" w:rsidR="008D7606" w:rsidRPr="00E75FA2" w:rsidRDefault="008D7606" w:rsidP="008D7606">
      <w:pPr>
        <w:rPr>
          <w:rFonts w:ascii="Times New Roman" w:hAnsi="Times New Roman" w:cs="Times New Roman"/>
          <w:b/>
          <w:bCs/>
          <w:sz w:val="32"/>
          <w:szCs w:val="32"/>
          <w:lang w:val="en-US"/>
        </w:rPr>
      </w:pPr>
      <w:r w:rsidRPr="00557E29">
        <w:rPr>
          <w:rFonts w:ascii="Times New Roman" w:hAnsi="Times New Roman" w:cs="Times New Roman"/>
          <w:b/>
          <w:bCs/>
          <w:sz w:val="32"/>
          <w:szCs w:val="32"/>
          <w:lang w:val="en-US"/>
        </w:rPr>
        <w:t>Conclusion</w:t>
      </w:r>
    </w:p>
    <w:p w14:paraId="323FF1AE" w14:textId="0FD0FE9C" w:rsidR="008D7606" w:rsidRPr="008D7606" w:rsidRDefault="008D7606" w:rsidP="008D7606">
      <w:pPr>
        <w:rPr>
          <w:rFonts w:ascii="Times New Roman" w:hAnsi="Times New Roman" w:cs="Times New Roman"/>
          <w:sz w:val="32"/>
          <w:szCs w:val="32"/>
          <w:lang w:val="en-US"/>
        </w:rPr>
      </w:pPr>
      <w:r w:rsidRPr="008D7606">
        <w:rPr>
          <w:rFonts w:ascii="Times New Roman" w:hAnsi="Times New Roman" w:cs="Times New Roman"/>
          <w:sz w:val="32"/>
          <w:szCs w:val="32"/>
          <w:lang w:val="en-US"/>
        </w:rPr>
        <w:t>The decision in Hadley v. Baxendale (1854) teaches that not every loss caused by a breach of contract can be recovered. Only those losses that are natural, foreseeable, or clearly communicated at the time of the agreement can be claimed. This case continues to guide businesses and courts by encouraging transparency, proper communication, and fairness in contractual relationships.</w:t>
      </w:r>
    </w:p>
    <w:sectPr w:rsidR="008D7606" w:rsidRPr="008D7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06"/>
    <w:rsid w:val="00184E87"/>
    <w:rsid w:val="00202683"/>
    <w:rsid w:val="00557E29"/>
    <w:rsid w:val="00564A50"/>
    <w:rsid w:val="00720374"/>
    <w:rsid w:val="008D7606"/>
    <w:rsid w:val="00E75FA2"/>
    <w:rsid w:val="00FD4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0F71"/>
  <w15:chartTrackingRefBased/>
  <w15:docId w15:val="{1B421D87-7713-4858-808D-EA9570EA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606"/>
    <w:rPr>
      <w:rFonts w:eastAsiaTheme="majorEastAsia" w:cstheme="majorBidi"/>
      <w:color w:val="272727" w:themeColor="text1" w:themeTint="D8"/>
    </w:rPr>
  </w:style>
  <w:style w:type="paragraph" w:styleId="Title">
    <w:name w:val="Title"/>
    <w:basedOn w:val="Normal"/>
    <w:next w:val="Normal"/>
    <w:link w:val="TitleChar"/>
    <w:uiPriority w:val="10"/>
    <w:qFormat/>
    <w:rsid w:val="008D7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606"/>
    <w:pPr>
      <w:spacing w:before="160"/>
      <w:jc w:val="center"/>
    </w:pPr>
    <w:rPr>
      <w:i/>
      <w:iCs/>
      <w:color w:val="404040" w:themeColor="text1" w:themeTint="BF"/>
    </w:rPr>
  </w:style>
  <w:style w:type="character" w:customStyle="1" w:styleId="QuoteChar">
    <w:name w:val="Quote Char"/>
    <w:basedOn w:val="DefaultParagraphFont"/>
    <w:link w:val="Quote"/>
    <w:uiPriority w:val="29"/>
    <w:rsid w:val="008D7606"/>
    <w:rPr>
      <w:i/>
      <w:iCs/>
      <w:color w:val="404040" w:themeColor="text1" w:themeTint="BF"/>
    </w:rPr>
  </w:style>
  <w:style w:type="paragraph" w:styleId="ListParagraph">
    <w:name w:val="List Paragraph"/>
    <w:basedOn w:val="Normal"/>
    <w:uiPriority w:val="34"/>
    <w:qFormat/>
    <w:rsid w:val="008D7606"/>
    <w:pPr>
      <w:ind w:left="720"/>
      <w:contextualSpacing/>
    </w:pPr>
  </w:style>
  <w:style w:type="character" w:styleId="IntenseEmphasis">
    <w:name w:val="Intense Emphasis"/>
    <w:basedOn w:val="DefaultParagraphFont"/>
    <w:uiPriority w:val="21"/>
    <w:qFormat/>
    <w:rsid w:val="008D7606"/>
    <w:rPr>
      <w:i/>
      <w:iCs/>
      <w:color w:val="0F4761" w:themeColor="accent1" w:themeShade="BF"/>
    </w:rPr>
  </w:style>
  <w:style w:type="paragraph" w:styleId="IntenseQuote">
    <w:name w:val="Intense Quote"/>
    <w:basedOn w:val="Normal"/>
    <w:next w:val="Normal"/>
    <w:link w:val="IntenseQuoteChar"/>
    <w:uiPriority w:val="30"/>
    <w:qFormat/>
    <w:rsid w:val="008D7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606"/>
    <w:rPr>
      <w:i/>
      <w:iCs/>
      <w:color w:val="0F4761" w:themeColor="accent1" w:themeShade="BF"/>
    </w:rPr>
  </w:style>
  <w:style w:type="character" w:styleId="IntenseReference">
    <w:name w:val="Intense Reference"/>
    <w:basedOn w:val="DefaultParagraphFont"/>
    <w:uiPriority w:val="32"/>
    <w:qFormat/>
    <w:rsid w:val="008D76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925F5-4056-45F7-871B-0E5CE0B7D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ibrahim dharik</dc:creator>
  <cp:keywords/>
  <dc:description/>
  <cp:lastModifiedBy>mohammad ibrahim dharik</cp:lastModifiedBy>
  <cp:revision>1</cp:revision>
  <dcterms:created xsi:type="dcterms:W3CDTF">2026-07-19T06:18:00Z</dcterms:created>
  <dcterms:modified xsi:type="dcterms:W3CDTF">2026-07-19T07:56:00Z</dcterms:modified>
</cp:coreProperties>
</file>