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196C" w14:textId="77777777" w:rsidR="00F77B15" w:rsidRPr="00F77B15" w:rsidRDefault="00F77B15" w:rsidP="00F77B1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36"/>
          <w:sz w:val="48"/>
          <w:szCs w:val="48"/>
          <w14:ligatures w14:val="none"/>
        </w:rPr>
        <w:t>GLOBAL CUSTOMER SERVICES (GCS) DISCOVERY &amp; STRATEGY DOCUMENT</w:t>
      </w:r>
    </w:p>
    <w:p w14:paraId="4BFB7337" w14:textId="77777777" w:rsidR="00F77B15" w:rsidRDefault="00F77B15" w:rsidP="00F77B15">
      <w:pPr>
        <w:spacing w:after="0" w:line="240" w:lineRule="auto"/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</w:pPr>
    </w:p>
    <w:p w14:paraId="5BF50C50" w14:textId="6BAC4C63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Project Title: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 Transitioning to Realized Next-Gen Security ARR via the Platform Realization Score (PRS)</w:t>
      </w:r>
    </w:p>
    <w:p w14:paraId="62E64F39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Author: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 Principal Product Manager, Centralized Data &amp; AI / Analytics</w:t>
      </w:r>
    </w:p>
    <w:p w14:paraId="387A28B5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Document Type: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 Business Requirements Document (BRD) &amp; Architectural Specification Interlock</w:t>
      </w:r>
    </w:p>
    <w:p w14:paraId="71A06447" w14:textId="6C4B27C3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Target Audience: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 VP of Customer Success, Chief Product Officer, Solutions Consulting Leadership, Data Engineering Core</w:t>
      </w:r>
    </w:p>
    <w:p w14:paraId="43841EC2" w14:textId="43CB8454" w:rsidR="00F77B15" w:rsidRPr="00F77B15" w:rsidRDefault="00F77B15" w:rsidP="00F77B15">
      <w:pPr>
        <w:pStyle w:val="Heading1"/>
        <w:rPr>
          <w:rFonts w:ascii="Times New Roman" w:eastAsia="Times New Roman" w:hAnsi="Times New Roman"/>
        </w:rPr>
      </w:pPr>
      <w:r w:rsidRPr="00F77B15">
        <w:rPr>
          <w:rFonts w:eastAsia="Times New Roman"/>
        </w:rPr>
        <w:t>1. Executive Summary &amp; Core Mandate</w:t>
      </w:r>
    </w:p>
    <w:p w14:paraId="3E9CCFC5" w14:textId="77777777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The Business Challenge</w:t>
      </w:r>
    </w:p>
    <w:p w14:paraId="20DB837F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Palo Alto Networks has fundamentally shifted its corporate strategy toward </w:t>
      </w:r>
      <w:proofErr w:type="spellStart"/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Platformization</w:t>
      </w:r>
      <w:proofErr w:type="spellEnd"/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—consolidating disparate enterprise environments into three unified ecosystems: </w:t>
      </w: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Strata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 (Network Security), </w:t>
      </w: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Prisma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 (Cloud Security &amp; SASE), and </w:t>
      </w: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Cortex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 (SecOps &amp; XSIAM). However, our internal Global Customer Services (GCS) organization continues to operate on a legacy </w:t>
      </w: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Total Contract Value (TCV) and Upfront Bookings model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.</w:t>
      </w:r>
    </w:p>
    <w:p w14:paraId="0CE06216" w14:textId="0D7B55F3" w:rsid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The TCV model treats a contract signature as an immediate success. This creates a dangerous misalignment: it obfuscates when a customer buys complex capacity but fails to deploy it. In cybersecurity, undeployed software leaves an </w:t>
      </w: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unprotected attack surface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, creating catastrophic brand risk, shielding early-warning churn vectors, and blinding our account teams to expansion opportunities.</w:t>
      </w:r>
    </w:p>
    <w:p w14:paraId="55FCD73D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CF84A" w14:textId="03486F3E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The Solution</w:t>
      </w:r>
    </w:p>
    <w:p w14:paraId="13B284AE" w14:textId="1A414746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This document details the discovery process and strategic framework used to define our new GCS North Star metric: </w:t>
      </w: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Realized Next-Gen Security ARR (Realized ARR)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 xml:space="preserve">, governed by the </w:t>
      </w: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:sz w:val="22"/>
          <w:szCs w:val="22"/>
          <w14:ligatures w14:val="none"/>
        </w:rPr>
        <w:t>Platform Realization Score (PRS)</w:t>
      </w: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. By linking financial value directly to real-time product telemetry, data quality guardrails, and customer sentiment, we establish a machine-readable ledger that enforces post-sale operational excellence.</w:t>
      </w:r>
    </w:p>
    <w:p w14:paraId="6577432C" w14:textId="384394DC" w:rsidR="00F77B15" w:rsidRPr="00F77B15" w:rsidRDefault="00F77B15" w:rsidP="00F77B15">
      <w:pPr>
        <w:pStyle w:val="Heading1"/>
        <w:rPr>
          <w:rFonts w:ascii="Times New Roman" w:eastAsia="Times New Roman" w:hAnsi="Times New Roman"/>
        </w:rPr>
      </w:pPr>
      <w:r w:rsidRPr="00F77B15">
        <w:rPr>
          <w:rFonts w:eastAsia="Times New Roman"/>
        </w:rPr>
        <w:t>2. Product Leadership Competency Framework</w:t>
      </w:r>
    </w:p>
    <w:p w14:paraId="18255C1B" w14:textId="5FDA2ECD" w:rsid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The definition and engineering of the PRS framework were derived by combining three core strategic disciplines:</w:t>
      </w:r>
    </w:p>
    <w:p w14:paraId="5F0A23D1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F840E" w14:textId="1AF3DB00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A. System Thinking &amp; Design Thinking Framework</w:t>
      </w:r>
    </w:p>
    <w:p w14:paraId="5319C368" w14:textId="77777777" w:rsidR="00F77B15" w:rsidRPr="00F77B15" w:rsidRDefault="00F77B15" w:rsidP="00F77B15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System Thinking Application: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Rather than viewing Customer Success, Technical Support, Professional Services, and Sales as isolated departments with independent KPIs, we mapped them as an interdependent ecosystem. We recognized that a change in one node (e.g., 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Sales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over-scoping a contract) creates downstream friction in another node (e.g., Professional 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lastRenderedPageBreak/>
        <w:t>Services facing an onboarding bottleneck). The PRS serves as the unified gravity well for this system, forcing all nodes to look at a single, shared scoreboard.</w:t>
      </w:r>
    </w:p>
    <w:p w14:paraId="42023841" w14:textId="46186114" w:rsidR="00F77B15" w:rsidRDefault="00F77B15" w:rsidP="00F77B15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Design Thinking Application: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We anchored our discovery phase on empathy for the enterprise customer. In deep-dive interviews with Global 2000 Chief Information Security Officers (CISOs), a clear pain point emerged: </w:t>
      </w:r>
      <w:r w:rsidRPr="00F77B15">
        <w:rPr>
          <w:rFonts w:ascii="Google Sans" w:eastAsia="Times New Roman" w:hAnsi="Google Sans" w:cs="Arial"/>
          <w:i/>
          <w:iCs/>
          <w:color w:val="1F1F1F"/>
          <w:kern w:val="0"/>
          <w:sz w:val="22"/>
          <w:szCs w:val="22"/>
          <w14:ligatures w14:val="none"/>
        </w:rPr>
        <w:t>"We don't want to manage multiple vendors, but we feel trapped when we buy a platform bundle and struggle to deploy it."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The core user needs identified were </w:t>
      </w: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Time-to-Value Acceleration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and </w:t>
      </w: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Operational Simplification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 We designed the metric to reward our internal teams only when the customer realizes true security mitigation.</w:t>
      </w:r>
    </w:p>
    <w:p w14:paraId="51294B7A" w14:textId="77777777" w:rsidR="00F77B15" w:rsidRPr="00F77B15" w:rsidRDefault="00F77B15" w:rsidP="00F77B15">
      <w:p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21AC5C7" w14:textId="230CED8E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B. First Principles Thinking Deconstruction</w:t>
      </w:r>
    </w:p>
    <w:p w14:paraId="0822661F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To cut through standard SaaS metrics, we stripped enterprise security data down to its fundamental, unalterable truths: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3497"/>
        <w:gridCol w:w="3569"/>
      </w:tblGrid>
      <w:tr w:rsidR="00F77B15" w:rsidRPr="00F77B15" w14:paraId="19CD144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46C49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Narrative / Industry Noise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AE8C3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Core Grounded Truth (First Principles)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05C2D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PRS Design Implementation</w:t>
            </w:r>
          </w:p>
        </w:tc>
      </w:tr>
      <w:tr w:rsidR="00F77B15" w:rsidRPr="00F77B15" w14:paraId="5C78EA3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07B4D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>"An account with a signed 3-year contract is financially stable and locked in."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7350E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Undeployed capacity is a liability.</w:t>
            </w: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Unconfigured modules represent security holes. If a customer is breached on a product they paid for but never turned on, our brand value drops to zero.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B2C21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Shelfware Override:</w:t>
            </w: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If an account shows zero active data ingestion across its contracts, its PRS drops to 0.00 automatically, stripping its contribution from Realized ARR.</w:t>
            </w:r>
          </w:p>
        </w:tc>
      </w:tr>
      <w:tr w:rsidR="00F77B15" w:rsidRPr="00F77B15" w14:paraId="5E37E52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E4654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>"A customer with zero open support tickets is a healthy, happy customer."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9CD225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Silence can indicate systemic abandonment.</w:t>
            </w: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An account with an empty support queue might have simply stopped using the application entirely.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68FD0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Sustained Usage Multiplier:</w:t>
            </w: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Integrates a rolling coefficient that evaluates usage consistency, ensuring a lack of support friction isn't confused with active utility.</w:t>
            </w:r>
          </w:p>
        </w:tc>
      </w:tr>
      <w:tr w:rsidR="00F77B15" w:rsidRPr="00F77B15" w14:paraId="51DF55F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5E9A54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>"Consumption metrics must be unrestricted to show total volume growth."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352D8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Enterprise data is messy and volatile.</w:t>
            </w: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Network spikes, seasonal incidents, or rogue/orphaned logs can easily distort core usage trends.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E0981" w14:textId="77777777" w:rsidR="00F77B15" w:rsidRPr="00F77B15" w:rsidRDefault="00F77B15" w:rsidP="00F77B1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7B15">
              <w:rPr>
                <w:rFonts w:ascii="Google Sans" w:eastAsia="Times New Roman" w:hAnsi="Google Sans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Telemetry Capping &amp; Boundary Rules:</w:t>
            </w:r>
            <w:r w:rsidRPr="00F77B15">
              <w:rPr>
                <w:rFonts w:ascii="Google Sans" w:eastAsia="Times New Roman" w:hAnsi="Google Sans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Deployment scores are capped at 1.00 to isolate core recurring utility from wild overage bursts, while rogue logs are dropped at the ingestion layer.</w:t>
            </w:r>
          </w:p>
        </w:tc>
      </w:tr>
    </w:tbl>
    <w:p w14:paraId="5335A175" w14:textId="77777777" w:rsidR="00F77B15" w:rsidRDefault="00F77B15" w:rsidP="00F77B15">
      <w:pPr>
        <w:pStyle w:val="Heading2"/>
        <w:rPr>
          <w:rFonts w:eastAsia="Times New Roman"/>
        </w:rPr>
      </w:pPr>
    </w:p>
    <w:p w14:paraId="7FF16567" w14:textId="36E6E6EB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C. Analytical Innovation</w:t>
      </w:r>
    </w:p>
    <w:p w14:paraId="6ACC129B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We combined raw data intuition with AI-driven signals to evolve our analytics stack from reactive dashboards to automated early-warning telemetry.</w:t>
      </w:r>
    </w:p>
    <w:p w14:paraId="31F2BD9E" w14:textId="77777777" w:rsidR="00F77B15" w:rsidRPr="00F77B15" w:rsidRDefault="00F77B15" w:rsidP="00F77B1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Isolating the "Spike &amp; Drop" Profile: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Standard data models looking at simple cumulative averages miss accounts that consume 90% of their annual credit pool in Month 1 (during a massive migration or post-incident panic) and then flatline. Our pipeline introduces a localized coefficient tracking standard deviation over a 12-month trailing window to flag these anomalies.</w:t>
      </w:r>
    </w:p>
    <w:p w14:paraId="4861333C" w14:textId="77777777" w:rsidR="00F77B15" w:rsidRPr="00F77B15" w:rsidRDefault="00F77B15" w:rsidP="00F77B1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AI-Driven Early Warning Signals: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In unstructured data spaces—such as Premier Support case histories, engineer notes, and customer Slack channels—traditional keywords miss context. The Analytics team deployed a lightweight LLM pipeline to analyze these streams for </w:t>
      </w: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early-warning churn signals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(e.g., expressions of architectural frustration, comparison to competitors, or stalled implementation notes). When a critical threshold is crossed, the AI system dynamically overwrites the account's point-in-time Technical Health parameter, dropping the PRS before the renewal risk manifests on an executive desk.</w:t>
      </w:r>
    </w:p>
    <w:p w14:paraId="3E391847" w14:textId="77777777" w:rsidR="00F77B15" w:rsidRDefault="00F77B15" w:rsidP="00F77B15">
      <w:pPr>
        <w:spacing w:after="0" w:line="240" w:lineRule="auto"/>
        <w:outlineLvl w:val="1"/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</w:pPr>
    </w:p>
    <w:p w14:paraId="53F760A8" w14:textId="76588D7E" w:rsidR="00F77B15" w:rsidRPr="00F77B15" w:rsidRDefault="00F77B15" w:rsidP="00F77B15">
      <w:pPr>
        <w:pStyle w:val="Heading1"/>
        <w:rPr>
          <w:rFonts w:ascii="Times New Roman" w:eastAsia="Times New Roman" w:hAnsi="Times New Roman"/>
        </w:rPr>
      </w:pPr>
      <w:r w:rsidRPr="00F77B15">
        <w:rPr>
          <w:rFonts w:eastAsia="Times New Roman"/>
        </w:rPr>
        <w:t>3. Business Requirements Document (BRD) Specifications</w:t>
      </w:r>
    </w:p>
    <w:p w14:paraId="54440165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The following sections define the core business logic, math, and data exceptions that govern the North Star engine.</w:t>
      </w:r>
    </w:p>
    <w:p w14:paraId="4FF65CE7" w14:textId="5B7F649C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Core Architecture Equations</w:t>
      </w:r>
    </w:p>
    <w:p w14:paraId="4B056ACB" w14:textId="77777777" w:rsidR="00A36CD8" w:rsidRDefault="00F77B15" w:rsidP="00F77B15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>Realized ARR = Contracted ARR</w:t>
      </w:r>
      <w:r w:rsidR="00A36CD8">
        <w:rPr>
          <w:rFonts w:ascii="Google Sans Text" w:eastAsia="Times New Roman" w:hAnsi="Google Sans Text" w:cs="Times New Roman"/>
          <w:kern w:val="0"/>
          <w14:ligatures w14:val="none"/>
        </w:rPr>
        <w:t xml:space="preserve"> </w:t>
      </w:r>
    </w:p>
    <w:p w14:paraId="36A5C579" w14:textId="29DEDC31" w:rsidR="00A36CD8" w:rsidRDefault="00A36CD8" w:rsidP="00F77B15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>
        <w:rPr>
          <w:rFonts w:ascii="Google Sans Text" w:eastAsia="Times New Roman" w:hAnsi="Google Sans Text" w:cs="Times New Roman"/>
          <w:kern w:val="0"/>
          <w14:ligatures w14:val="none"/>
        </w:rPr>
        <w:t>+</w:t>
      </w:r>
      <w:r w:rsidR="00F77B15" w:rsidRPr="00F77B15">
        <w:rPr>
          <w:rFonts w:ascii="Google Sans Text" w:eastAsia="Times New Roman" w:hAnsi="Google Sans Text" w:cs="Times New Roman"/>
          <w:kern w:val="0"/>
          <w14:ligatures w14:val="none"/>
        </w:rPr>
        <w:t xml:space="preserve"> Deployment Score</w:t>
      </w:r>
      <w:r>
        <w:rPr>
          <w:rFonts w:ascii="Google Sans Text" w:eastAsia="Times New Roman" w:hAnsi="Google Sans Text" w:cs="Times New Roman"/>
          <w:kern w:val="0"/>
          <w14:ligatures w14:val="none"/>
        </w:rPr>
        <w:t xml:space="preserve"> </w:t>
      </w:r>
      <w:proofErr w:type="gramStart"/>
      <w:r>
        <w:rPr>
          <w:rFonts w:ascii="Google Sans Text" w:eastAsia="Times New Roman" w:hAnsi="Google Sans Text" w:cs="Times New Roman"/>
          <w:kern w:val="0"/>
          <w14:ligatures w14:val="none"/>
        </w:rPr>
        <w:t xml:space="preserve">* </w:t>
      </w:r>
      <w:r w:rsidR="00F77B15" w:rsidRPr="00F77B15">
        <w:rPr>
          <w:rFonts w:ascii="Google Sans Text" w:eastAsia="Times New Roman" w:hAnsi="Google Sans Text" w:cs="Times New Roman"/>
          <w:kern w:val="0"/>
          <w14:ligatures w14:val="none"/>
        </w:rPr>
        <w:t xml:space="preserve"> 0.40</w:t>
      </w:r>
      <w:proofErr w:type="gramEnd"/>
      <w:r w:rsidR="00F77B15" w:rsidRPr="00F77B15">
        <w:rPr>
          <w:rFonts w:ascii="Google Sans Text" w:eastAsia="Times New Roman" w:hAnsi="Google Sans Text" w:cs="Times New Roman"/>
          <w:kern w:val="0"/>
          <w14:ligatures w14:val="none"/>
        </w:rPr>
        <w:t>)</w:t>
      </w:r>
    </w:p>
    <w:p w14:paraId="28FADAC2" w14:textId="1B0CD2A8" w:rsidR="00A36CD8" w:rsidRDefault="00F77B15" w:rsidP="00F77B15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>+ Sustained Usage Score</w:t>
      </w:r>
      <w:r w:rsidR="00A36CD8">
        <w:rPr>
          <w:rFonts w:ascii="Google Sans Text" w:eastAsia="Times New Roman" w:hAnsi="Google Sans Text" w:cs="Times New Roman"/>
          <w:kern w:val="0"/>
          <w14:ligatures w14:val="none"/>
        </w:rPr>
        <w:t xml:space="preserve"> </w:t>
      </w:r>
      <w:proofErr w:type="gramStart"/>
      <w:r w:rsidR="00A36CD8">
        <w:rPr>
          <w:rFonts w:ascii="Google Sans Text" w:eastAsia="Times New Roman" w:hAnsi="Google Sans Text" w:cs="Times New Roman"/>
          <w:kern w:val="0"/>
          <w14:ligatures w14:val="none"/>
        </w:rPr>
        <w:t xml:space="preserve">* </w:t>
      </w:r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 xml:space="preserve"> 0.30</w:t>
      </w:r>
      <w:proofErr w:type="gramEnd"/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 xml:space="preserve"> </w:t>
      </w:r>
    </w:p>
    <w:p w14:paraId="15DC68CB" w14:textId="77777777" w:rsidR="00A36CD8" w:rsidRDefault="00F77B15" w:rsidP="00F77B15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>+ Technical Health Score</w:t>
      </w:r>
      <w:r w:rsidR="00A36CD8">
        <w:rPr>
          <w:rFonts w:ascii="Google Sans Text" w:eastAsia="Times New Roman" w:hAnsi="Google Sans Text" w:cs="Times New Roman"/>
          <w:kern w:val="0"/>
          <w14:ligatures w14:val="none"/>
        </w:rPr>
        <w:t xml:space="preserve"> </w:t>
      </w:r>
      <w:proofErr w:type="gramStart"/>
      <w:r w:rsidR="00A36CD8">
        <w:rPr>
          <w:rFonts w:ascii="Google Sans Text" w:eastAsia="Times New Roman" w:hAnsi="Google Sans Text" w:cs="Times New Roman"/>
          <w:kern w:val="0"/>
          <w14:ligatures w14:val="none"/>
        </w:rPr>
        <w:t xml:space="preserve">* </w:t>
      </w:r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 xml:space="preserve"> 0.20</w:t>
      </w:r>
      <w:proofErr w:type="gramEnd"/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 xml:space="preserve"> </w:t>
      </w:r>
    </w:p>
    <w:p w14:paraId="4959CF66" w14:textId="69D7E8DA" w:rsidR="00F77B15" w:rsidRPr="00F77B15" w:rsidRDefault="00F77B15" w:rsidP="00F77B15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>+ Expansion Momentum</w:t>
      </w:r>
      <w:r w:rsidR="00A36CD8">
        <w:rPr>
          <w:rFonts w:ascii="Google Sans Text" w:eastAsia="Times New Roman" w:hAnsi="Google Sans Text" w:cs="Times New Roman"/>
          <w:kern w:val="0"/>
          <w14:ligatures w14:val="none"/>
        </w:rPr>
        <w:t xml:space="preserve"> *</w:t>
      </w:r>
      <w:r w:rsidRPr="00F77B15">
        <w:rPr>
          <w:rFonts w:ascii="Google Sans Text" w:eastAsia="Times New Roman" w:hAnsi="Google Sans Text" w:cs="Times New Roman"/>
          <w:kern w:val="0"/>
          <w14:ligatures w14:val="none"/>
        </w:rPr>
        <w:t xml:space="preserve"> 0.10)</w:t>
      </w:r>
    </w:p>
    <w:p w14:paraId="08F1000E" w14:textId="77777777" w:rsidR="00F77B15" w:rsidRDefault="00F77B15" w:rsidP="00F77B15">
      <w:pPr>
        <w:spacing w:after="0" w:line="240" w:lineRule="auto"/>
        <w:ind w:left="480"/>
        <w:rPr>
          <w:rFonts w:ascii="Google Sans" w:eastAsia="Times New Roman" w:hAnsi="Google Sans" w:cs="Times New Roman"/>
          <w:color w:val="1F1F1F"/>
          <w:kern w:val="0"/>
          <w:sz w:val="22"/>
          <w:szCs w:val="22"/>
          <w:shd w:val="clear" w:color="auto" w:fill="141414"/>
          <w14:ligatures w14:val="none"/>
        </w:rPr>
      </w:pPr>
    </w:p>
    <w:p w14:paraId="2C87E31A" w14:textId="77777777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Data Schema Mapping &amp; Field Lineage</w:t>
      </w:r>
    </w:p>
    <w:p w14:paraId="742037DB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The calculation engine maps directly to our five operational core tables:</w:t>
      </w:r>
    </w:p>
    <w:p w14:paraId="7BA6BF94" w14:textId="77777777" w:rsidR="00A36CD8" w:rsidRDefault="00A36CD8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130BBD7B" w14:textId="65B21399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1. Contracts (The Financial Baseline)</w:t>
      </w:r>
    </w:p>
    <w:p w14:paraId="4470C0F8" w14:textId="77777777" w:rsidR="00F77B15" w:rsidRPr="00F77B15" w:rsidRDefault="00F77B15" w:rsidP="00F77B15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Key Fields Used: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account_id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annual_commit_dollars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included_monthly_compute_credits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start_date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end_date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</w:t>
      </w:r>
    </w:p>
    <w:p w14:paraId="34A7C728" w14:textId="77777777" w:rsidR="00F77B15" w:rsidRPr="00F77B15" w:rsidRDefault="00F77B15" w:rsidP="00F77B15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Definition: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Captures active contractual recurring run-rates.</w:t>
      </w:r>
    </w:p>
    <w:p w14:paraId="239013F0" w14:textId="77777777" w:rsidR="00F77B15" w:rsidRPr="00F77B15" w:rsidRDefault="00F77B15" w:rsidP="00F77B15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Data Integrity Rule: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Must filter specifically for the target snapshot date: '2025-06-15' BETWEEN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start_date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AND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end_date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</w:t>
      </w:r>
    </w:p>
    <w:p w14:paraId="096F3FE0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69599FD3" w14:textId="3A8E8ACA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2. D</w:t>
      </w:r>
      <w:proofErr w:type="spellStart"/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aily_Usage_Logs</w:t>
      </w:r>
      <w:proofErr w:type="spellEnd"/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 xml:space="preserve"> (The Ingestion Infrastructure)</w:t>
      </w:r>
    </w:p>
    <w:p w14:paraId="2E553FFD" w14:textId="77777777" w:rsidR="00F77B15" w:rsidRPr="00F77B15" w:rsidRDefault="00F77B15" w:rsidP="00F77B1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Key Fields Used: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log_id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account_id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date,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compute_credits_consumed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</w:t>
      </w:r>
    </w:p>
    <w:p w14:paraId="17849AB0" w14:textId="77777777" w:rsidR="00F77B15" w:rsidRPr="00F77B15" w:rsidRDefault="00F77B15" w:rsidP="00F77B1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Definition: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Tracks real-time compute and platform ingestion across our Strata, Prisma, and Cortex clusters.</w:t>
      </w:r>
    </w:p>
    <w:p w14:paraId="66E96598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552F1A3E" w14:textId="0BF23BB6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3. A</w:t>
      </w:r>
      <w:proofErr w:type="spellStart"/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ccount_Health</w:t>
      </w:r>
      <w:proofErr w:type="spellEnd"/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 xml:space="preserve"> (The Technical Sentiment)</w:t>
      </w:r>
    </w:p>
    <w:p w14:paraId="0B0EA13B" w14:textId="77777777" w:rsidR="00F77B15" w:rsidRPr="00F77B15" w:rsidRDefault="00F77B15" w:rsidP="00F77B1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Key Fields Used: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account_id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date,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health_color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(Green/Yellow/Red).</w:t>
      </w:r>
    </w:p>
    <w:p w14:paraId="4B4C0CB4" w14:textId="77777777" w:rsidR="00F77B15" w:rsidRPr="00F77B15" w:rsidRDefault="00F77B15" w:rsidP="00F77B1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Definition: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Point-in-time health state combining technical support metrics, severity escalations, and AI-driven sentiment analysis.</w:t>
      </w:r>
    </w:p>
    <w:p w14:paraId="3BB75897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3F903F0A" w14:textId="22EB6611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 xml:space="preserve">4. Accounts &amp; </w:t>
      </w:r>
      <w:proofErr w:type="spellStart"/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CSM_rep</w:t>
      </w:r>
      <w:proofErr w:type="spellEnd"/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 xml:space="preserve"> (The Organizational Dimensions)</w:t>
      </w:r>
    </w:p>
    <w:p w14:paraId="1BCF40D2" w14:textId="77777777" w:rsidR="00F77B15" w:rsidRPr="00F77B15" w:rsidRDefault="00F77B15" w:rsidP="00F77B1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Key Fields Used: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account_id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company_name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rep_id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, region, segment (Enterprise/Mid-Market).</w:t>
      </w:r>
    </w:p>
    <w:p w14:paraId="78F67820" w14:textId="77777777" w:rsidR="00F77B15" w:rsidRPr="00F77B15" w:rsidRDefault="00F77B15" w:rsidP="00F77B1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Definition: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Normalizes demographic attributes to generate segment-level dashboard metrics for leadership.</w:t>
      </w:r>
    </w:p>
    <w:p w14:paraId="23D63409" w14:textId="77777777" w:rsidR="00F77B15" w:rsidRDefault="00F77B15" w:rsidP="00F77B15">
      <w:pPr>
        <w:spacing w:after="240" w:line="240" w:lineRule="auto"/>
        <w:outlineLvl w:val="2"/>
        <w:rPr>
          <w:rFonts w:ascii="Google Sans" w:eastAsia="Times New Roman" w:hAnsi="Google Sans" w:cs="Times New Roman"/>
          <w:b/>
          <w:bCs/>
          <w:color w:val="1F1F1F"/>
          <w:kern w:val="0"/>
          <w:sz w:val="28"/>
          <w:szCs w:val="28"/>
          <w14:ligatures w14:val="none"/>
        </w:rPr>
      </w:pPr>
    </w:p>
    <w:p w14:paraId="226B5A8A" w14:textId="03CE7E76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Anomaly Mitigation Ledger (Crucial Edge Cases)</w:t>
      </w:r>
    </w:p>
    <w:p w14:paraId="0B7D1DCD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To protect commissions, resource forecasting, and corporate revenue projections, the metric's logic is hardened against the realities of enterprise data:</w:t>
      </w:r>
    </w:p>
    <w:p w14:paraId="4539CB31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59ED07C1" w14:textId="2024F78E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Anomaly 1: Shelfware (~10% of Accounts)</w:t>
      </w:r>
    </w:p>
    <w:p w14:paraId="754F5F7C" w14:textId="77777777" w:rsidR="00F77B15" w:rsidRPr="00F77B15" w:rsidRDefault="00F77B15" w:rsidP="00F77B15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Data Footprint: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High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annual_commit_dollars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inside Contracts, but zero corresponding rows inside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Daily_Usage_Logs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</w:t>
      </w:r>
    </w:p>
    <w:p w14:paraId="010F193A" w14:textId="77777777" w:rsidR="00F77B15" w:rsidRPr="00F77B15" w:rsidRDefault="00F77B15" w:rsidP="00F77B15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Logic Handling: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Built-in hard conditional floor:</w:t>
      </w:r>
      <w:r w:rsidRPr="00F77B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$$\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text{IF }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Deployment Score} = 0 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 AND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} 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Sustained Usage Score} = 0 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 THEN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} 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PRS} = 0.00$$</w:t>
      </w:r>
    </w:p>
    <w:p w14:paraId="3B477F3E" w14:textId="77777777" w:rsidR="00F77B15" w:rsidRPr="00F77B15" w:rsidRDefault="00F77B15" w:rsidP="00F77B15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GCS Behavioral Outcome: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This strips away phantom value from the books. The account shows maximum Contracted ARR but zero Realized ARR, forcing the assigned Customer Success Manager (CSM) to run a proactive deployment play.</w:t>
      </w:r>
    </w:p>
    <w:p w14:paraId="6B0EF49A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40E937B4" w14:textId="5534F103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Anomaly 2: Spike &amp; Drop (~5% of Accounts)</w:t>
      </w:r>
    </w:p>
    <w:p w14:paraId="4E0AD2F3" w14:textId="77777777" w:rsidR="00F77B15" w:rsidRPr="00F77B15" w:rsidRDefault="00F77B15" w:rsidP="00F77B15">
      <w:pPr>
        <w:numPr>
          <w:ilvl w:val="0"/>
          <w:numId w:val="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Data Footprint: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A massive spike in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compute_credits_consumed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during Month 1, followed by a flatline near zero.</w:t>
      </w:r>
    </w:p>
    <w:p w14:paraId="104B96F6" w14:textId="77777777" w:rsidR="00F77B15" w:rsidRPr="00F77B15" w:rsidRDefault="00F77B15" w:rsidP="00F77B15">
      <w:pPr>
        <w:numPr>
          <w:ilvl w:val="0"/>
          <w:numId w:val="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Logic Handling: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Calculated using a rolling coefficient of variation ($CoV$) over a trailing window. If the variance spikes while consumption collapses, the Sustained Usage Score is heavily penalized, driving down the overall PRS.</w:t>
      </w:r>
    </w:p>
    <w:p w14:paraId="73DF9FD0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3EEB174F" w14:textId="37CAA318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Anomaly 3: Consistent Overages (~15% of Accounts)</w:t>
      </w:r>
    </w:p>
    <w:p w14:paraId="5BEA1786" w14:textId="77777777" w:rsidR="00F77B15" w:rsidRPr="00F77B15" w:rsidRDefault="00F77B15" w:rsidP="00F77B15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Data Footprint: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Accounts consistently consuming 120%+ of their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included_monthly_compute_credits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</w:t>
      </w:r>
    </w:p>
    <w:p w14:paraId="3E956A1D" w14:textId="77777777" w:rsidR="00F77B15" w:rsidRPr="00F77B15" w:rsidRDefault="00F77B15" w:rsidP="00F77B15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Logic Handling: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The Deployment Score component uses a hard logical cap:</w:t>
      </w:r>
      <w:r w:rsidRPr="00F77B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$$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\min\left(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1.00, 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frac{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Credits Consumed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}}{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\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text{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Credits Included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}}\right)$</w:t>
      </w:r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$</w:t>
      </w:r>
    </w:p>
    <w:p w14:paraId="0514ACBC" w14:textId="77777777" w:rsidR="00F77B15" w:rsidRPr="00F77B15" w:rsidRDefault="00F77B15" w:rsidP="00F77B15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GCS Behavioral Outcome: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This prevents over-performing accounts from skewing the overall health of a CSM's portfolio. Instead, these overages trigger an automatic flag for the Expansion Momentum module, signaling an upsell opportunity for the account rep.</w:t>
      </w:r>
    </w:p>
    <w:p w14:paraId="3D8E7B5E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053365BE" w14:textId="6502F56E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Anomaly 4: Mid-Year Expansions</w:t>
      </w:r>
    </w:p>
    <w:p w14:paraId="1FD2DB67" w14:textId="77777777" w:rsidR="00F77B15" w:rsidRPr="00F77B15" w:rsidRDefault="00F77B15" w:rsidP="00F77B15">
      <w:pPr>
        <w:numPr>
          <w:ilvl w:val="0"/>
          <w:numId w:val="1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Data Footprint: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Multiple active contracts with overlapping dates for a single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account_id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</w:t>
      </w:r>
    </w:p>
    <w:p w14:paraId="7737CCCA" w14:textId="77777777" w:rsidR="00F77B15" w:rsidRPr="00F77B15" w:rsidRDefault="00F77B15" w:rsidP="00F77B15">
      <w:pPr>
        <w:numPr>
          <w:ilvl w:val="0"/>
          <w:numId w:val="1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Logic Handling: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The query groups by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account_id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within the active date window, executing a </w:t>
      </w:r>
      <w:proofErr w:type="gram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SUM(</w:t>
      </w:r>
      <w:proofErr w:type="spellStart"/>
      <w:proofErr w:type="gram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annual_commit_dollars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). This blends multi-contract expansion footprints into a single account profile without double-counting.</w:t>
      </w:r>
    </w:p>
    <w:p w14:paraId="3AD8E77A" w14:textId="77777777" w:rsidR="00F77B15" w:rsidRDefault="00F77B15" w:rsidP="00F77B15">
      <w:pPr>
        <w:spacing w:after="255" w:line="240" w:lineRule="auto"/>
        <w:outlineLvl w:val="3"/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</w:pPr>
    </w:p>
    <w:p w14:paraId="32B86170" w14:textId="1E1F8909" w:rsidR="00F77B15" w:rsidRPr="00F77B15" w:rsidRDefault="00F77B15" w:rsidP="00F77B15">
      <w:pPr>
        <w:spacing w:after="25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b/>
          <w:bCs/>
          <w:color w:val="1F1F1F"/>
          <w:kern w:val="0"/>
          <w14:ligatures w14:val="none"/>
        </w:rPr>
        <w:t>Anomaly 5: Rogue / Orphaned Logs</w:t>
      </w:r>
    </w:p>
    <w:p w14:paraId="667EC97F" w14:textId="77777777" w:rsidR="00F77B15" w:rsidRPr="00F77B15" w:rsidRDefault="00F77B15" w:rsidP="00F77B15">
      <w:pPr>
        <w:numPr>
          <w:ilvl w:val="0"/>
          <w:numId w:val="1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Data Footprint: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Usage records containing unmapped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account_id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strings or logging dates outside active contract parameters.</w:t>
      </w:r>
    </w:p>
    <w:p w14:paraId="2904F5BD" w14:textId="77777777" w:rsidR="00F77B15" w:rsidRPr="00F77B15" w:rsidRDefault="00F77B15" w:rsidP="00F77B15">
      <w:pPr>
        <w:numPr>
          <w:ilvl w:val="0"/>
          <w:numId w:val="1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Business Logic Handling: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Enforces an INNER JOIN between </w:t>
      </w:r>
      <w:proofErr w:type="spellStart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Daily_Usage_Logs</w:t>
      </w:r>
      <w:proofErr w:type="spellEnd"/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and the Accounts dimension table, combined with an active contract date boundary check. All rogue records are filtered out and written to a Data Quality exceptions log.</w:t>
      </w:r>
    </w:p>
    <w:p w14:paraId="41303322" w14:textId="77777777" w:rsidR="00F77B15" w:rsidRDefault="00F77B15" w:rsidP="00F77B15">
      <w:pPr>
        <w:spacing w:after="0" w:line="240" w:lineRule="auto"/>
        <w:outlineLvl w:val="1"/>
        <w:rPr>
          <w:rFonts w:ascii="Google Sans" w:eastAsia="Times New Roman" w:hAnsi="Google Sans" w:cs="Times New Roman"/>
          <w:b/>
          <w:bCs/>
          <w:color w:val="1F1F1F"/>
          <w:kern w:val="0"/>
          <w:sz w:val="36"/>
          <w:szCs w:val="36"/>
          <w14:ligatures w14:val="none"/>
        </w:rPr>
      </w:pPr>
    </w:p>
    <w:p w14:paraId="3E541D04" w14:textId="2E34F88E" w:rsidR="00F77B15" w:rsidRPr="00F77B15" w:rsidRDefault="00F77B15" w:rsidP="00F77B15">
      <w:pPr>
        <w:pStyle w:val="Heading1"/>
        <w:rPr>
          <w:rFonts w:ascii="Times New Roman" w:eastAsia="Times New Roman" w:hAnsi="Times New Roman"/>
        </w:rPr>
      </w:pPr>
      <w:r w:rsidRPr="00F77B15">
        <w:rPr>
          <w:rFonts w:eastAsia="Times New Roman"/>
        </w:rPr>
        <w:t>4. Operational Implementation &amp; Executive Interlock</w:t>
      </w:r>
    </w:p>
    <w:p w14:paraId="3BE9F5A0" w14:textId="77777777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t>Behavioral &amp; Incentive Alignment</w:t>
      </w:r>
    </w:p>
    <w:p w14:paraId="1980C66E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Adopting the Platform Realization Score (PRS) establishes a direct partnership across our account teams:</w:t>
      </w:r>
    </w:p>
    <w:p w14:paraId="7C49327D" w14:textId="77777777" w:rsidR="00F77B15" w:rsidRPr="00F77B15" w:rsidRDefault="00F77B15" w:rsidP="00F77B15">
      <w:pPr>
        <w:numPr>
          <w:ilvl w:val="0"/>
          <w:numId w:val="1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For Account Representatives: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Account Executives continue to receive baseline commissions upon contract execution, securing upfront cash flow metrics. However, their high-tier quarterly bonuses and growth accelerators are tied to the account achieving a </w:t>
      </w: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PRS $\</w:t>
      </w:r>
      <w:proofErr w:type="spellStart"/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ge</w:t>
      </w:r>
      <w:proofErr w:type="spellEnd"/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$ 0.80 within 180 days post-sale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 This financial structure stops sales from selling phantom capacity and keeps them engaged with the customer's technical leadership during onboarding.</w:t>
      </w:r>
    </w:p>
    <w:p w14:paraId="1F22DF05" w14:textId="77777777" w:rsidR="00F77B15" w:rsidRPr="00F77B15" w:rsidRDefault="00F77B15" w:rsidP="00F77B15">
      <w:pPr>
        <w:numPr>
          <w:ilvl w:val="0"/>
          <w:numId w:val="1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For Global Customer Services (GCS):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 xml:space="preserve"> Customer Success, Professional Services, and Technical Support are evaluated on a unified target: </w:t>
      </w:r>
      <w:r w:rsidRPr="00F77B15">
        <w:rPr>
          <w:rFonts w:ascii="Google Sans" w:eastAsia="Times New Roman" w:hAnsi="Google Sans" w:cs="Arial"/>
          <w:b/>
          <w:bCs/>
          <w:color w:val="1F1F1F"/>
          <w:kern w:val="0"/>
          <w:sz w:val="22"/>
          <w:szCs w:val="22"/>
          <w14:ligatures w14:val="none"/>
        </w:rPr>
        <w:t>Time-to-Realized-ARR Acceleration</w:t>
      </w:r>
      <w:r w:rsidRPr="00F77B15">
        <w:rPr>
          <w:rFonts w:ascii="Google Sans" w:eastAsia="Times New Roman" w:hAnsi="Google Sans" w:cs="Arial"/>
          <w:color w:val="1F1F1F"/>
          <w:kern w:val="0"/>
          <w:sz w:val="22"/>
          <w:szCs w:val="22"/>
          <w14:ligatures w14:val="none"/>
        </w:rPr>
        <w:t>. This aligns the post-sales teams to clear technical hurdles quickly, activate core platform pipelines, and preserve long-term Net Retention Rate (NRR).</w:t>
      </w:r>
    </w:p>
    <w:p w14:paraId="64DE492C" w14:textId="77777777" w:rsidR="00F77B15" w:rsidRDefault="00F77B15" w:rsidP="00F77B15">
      <w:pPr>
        <w:spacing w:after="240" w:line="240" w:lineRule="auto"/>
        <w:outlineLvl w:val="2"/>
        <w:rPr>
          <w:rFonts w:ascii="Google Sans" w:eastAsia="Times New Roman" w:hAnsi="Google Sans" w:cs="Times New Roman"/>
          <w:b/>
          <w:bCs/>
          <w:color w:val="1F1F1F"/>
          <w:kern w:val="0"/>
          <w:sz w:val="28"/>
          <w:szCs w:val="28"/>
          <w14:ligatures w14:val="none"/>
        </w:rPr>
      </w:pPr>
    </w:p>
    <w:p w14:paraId="17D2952A" w14:textId="7C83BC5D" w:rsidR="00F77B15" w:rsidRPr="00F77B15" w:rsidRDefault="00F77B15" w:rsidP="00F77B15">
      <w:pPr>
        <w:pStyle w:val="Heading2"/>
        <w:rPr>
          <w:rFonts w:ascii="Times New Roman" w:eastAsia="Times New Roman" w:hAnsi="Times New Roman"/>
          <w:sz w:val="27"/>
          <w:szCs w:val="27"/>
        </w:rPr>
      </w:pPr>
      <w:r w:rsidRPr="00F77B15">
        <w:rPr>
          <w:rFonts w:eastAsia="Times New Roman"/>
        </w:rPr>
        <w:lastRenderedPageBreak/>
        <w:t>The Executive Scoreboard</w:t>
      </w:r>
    </w:p>
    <w:p w14:paraId="04B137A4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color w:val="1F1F1F"/>
          <w:kern w:val="0"/>
          <w:sz w:val="22"/>
          <w:szCs w:val="22"/>
          <w14:ligatures w14:val="none"/>
        </w:rPr>
        <w:t>When presenting to our VP of Customer Success and Solutions Consulting leadership, this framework collapses multi-dashboard noise into a single business health statement:</w:t>
      </w:r>
    </w:p>
    <w:p w14:paraId="1DB037B7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B15">
        <w:rPr>
          <w:rFonts w:ascii="Google Sans" w:eastAsia="Times New Roman" w:hAnsi="Google Sans" w:cs="Times New Roman"/>
          <w:i/>
          <w:iCs/>
          <w:color w:val="1F1F1F"/>
          <w:kern w:val="0"/>
          <w:sz w:val="22"/>
          <w:szCs w:val="22"/>
          <w14:ligatures w14:val="none"/>
        </w:rPr>
        <w:t xml:space="preserve">"This quarter, our Enterprise Segment booked </w:t>
      </w:r>
      <w:r w:rsidRPr="00F77B15">
        <w:rPr>
          <w:rFonts w:ascii="Google Sans" w:eastAsia="Times New Roman" w:hAnsi="Google Sans" w:cs="Times New Roman"/>
          <w:b/>
          <w:bCs/>
          <w:i/>
          <w:iCs/>
          <w:color w:val="1F1F1F"/>
          <w:kern w:val="0"/>
          <w:sz w:val="22"/>
          <w:szCs w:val="22"/>
          <w14:ligatures w14:val="none"/>
        </w:rPr>
        <w:t>$100M in Contracted ARR</w:t>
      </w:r>
      <w:r w:rsidRPr="00F77B15">
        <w:rPr>
          <w:rFonts w:ascii="Google Sans" w:eastAsia="Times New Roman" w:hAnsi="Google Sans" w:cs="Times New Roman"/>
          <w:i/>
          <w:iCs/>
          <w:color w:val="1F1F1F"/>
          <w:kern w:val="0"/>
          <w:sz w:val="22"/>
          <w:szCs w:val="22"/>
          <w14:ligatures w14:val="none"/>
        </w:rPr>
        <w:t xml:space="preserve">. Through targeted deployment tracking and multi-platform consolidation, we have unlocked </w:t>
      </w:r>
      <w:r w:rsidRPr="00F77B15">
        <w:rPr>
          <w:rFonts w:ascii="Google Sans" w:eastAsia="Times New Roman" w:hAnsi="Google Sans" w:cs="Times New Roman"/>
          <w:b/>
          <w:bCs/>
          <w:i/>
          <w:iCs/>
          <w:color w:val="1F1F1F"/>
          <w:kern w:val="0"/>
          <w:sz w:val="22"/>
          <w:szCs w:val="22"/>
          <w14:ligatures w14:val="none"/>
        </w:rPr>
        <w:t>$78M in Realized ARR</w:t>
      </w:r>
      <w:r w:rsidRPr="00F77B15">
        <w:rPr>
          <w:rFonts w:ascii="Google Sans" w:eastAsia="Times New Roman" w:hAnsi="Google Sans" w:cs="Times New Roman"/>
          <w:i/>
          <w:iCs/>
          <w:color w:val="1F1F1F"/>
          <w:kern w:val="0"/>
          <w:sz w:val="22"/>
          <w:szCs w:val="22"/>
          <w14:ligatures w14:val="none"/>
        </w:rPr>
        <w:t>. The remaining $22M gap is clearly isolated within a cohort of 45 single-pillar accounts currently undergoing Cortex log-pipeline configuration. We have deployed proactive engineering resources to clear these pipelines, protecting our protection footprint and mitigating renewal risk well ahead of contract deadlines."</w:t>
      </w:r>
    </w:p>
    <w:p w14:paraId="0C56369C" w14:textId="77777777" w:rsidR="00F77B15" w:rsidRPr="00F77B15" w:rsidRDefault="00F77B15" w:rsidP="00F77B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7A156" w14:textId="77777777" w:rsidR="00F77B15" w:rsidRDefault="00F77B15"/>
    <w:sectPr w:rsidR="00F77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EAA"/>
    <w:multiLevelType w:val="multilevel"/>
    <w:tmpl w:val="34B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213E2"/>
    <w:multiLevelType w:val="multilevel"/>
    <w:tmpl w:val="098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4525"/>
    <w:multiLevelType w:val="multilevel"/>
    <w:tmpl w:val="C3E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50892"/>
    <w:multiLevelType w:val="multilevel"/>
    <w:tmpl w:val="DCE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707D5"/>
    <w:multiLevelType w:val="multilevel"/>
    <w:tmpl w:val="40A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03BF8"/>
    <w:multiLevelType w:val="multilevel"/>
    <w:tmpl w:val="A36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D501E"/>
    <w:multiLevelType w:val="multilevel"/>
    <w:tmpl w:val="93B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F09E2"/>
    <w:multiLevelType w:val="multilevel"/>
    <w:tmpl w:val="9C36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A6977"/>
    <w:multiLevelType w:val="multilevel"/>
    <w:tmpl w:val="9E4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029BE"/>
    <w:multiLevelType w:val="multilevel"/>
    <w:tmpl w:val="1BE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82523"/>
    <w:multiLevelType w:val="multilevel"/>
    <w:tmpl w:val="C3D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74186"/>
    <w:multiLevelType w:val="multilevel"/>
    <w:tmpl w:val="EBF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455348">
    <w:abstractNumId w:val="9"/>
  </w:num>
  <w:num w:numId="2" w16cid:durableId="1635595918">
    <w:abstractNumId w:val="7"/>
  </w:num>
  <w:num w:numId="3" w16cid:durableId="368535047">
    <w:abstractNumId w:val="1"/>
  </w:num>
  <w:num w:numId="4" w16cid:durableId="1767534389">
    <w:abstractNumId w:val="11"/>
  </w:num>
  <w:num w:numId="5" w16cid:durableId="2126197114">
    <w:abstractNumId w:val="2"/>
  </w:num>
  <w:num w:numId="6" w16cid:durableId="981813597">
    <w:abstractNumId w:val="6"/>
  </w:num>
  <w:num w:numId="7" w16cid:durableId="22021520">
    <w:abstractNumId w:val="3"/>
  </w:num>
  <w:num w:numId="8" w16cid:durableId="1248223687">
    <w:abstractNumId w:val="0"/>
  </w:num>
  <w:num w:numId="9" w16cid:durableId="1946382432">
    <w:abstractNumId w:val="8"/>
  </w:num>
  <w:num w:numId="10" w16cid:durableId="961887130">
    <w:abstractNumId w:val="10"/>
  </w:num>
  <w:num w:numId="11" w16cid:durableId="1706324076">
    <w:abstractNumId w:val="5"/>
  </w:num>
  <w:num w:numId="12" w16cid:durableId="334111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15"/>
    <w:rsid w:val="004479D9"/>
    <w:rsid w:val="00A36CD8"/>
    <w:rsid w:val="00F7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71BC"/>
  <w15:chartTrackingRefBased/>
  <w15:docId w15:val="{E93692B1-97E9-0C44-B099-9822E7B0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7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7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9B6068-4CE8-F741-8EE5-1CB88F409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1687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Dharmesh Bhagat</dc:creator>
  <cp:keywords/>
  <dc:description/>
  <cp:lastModifiedBy>Dharmesh Bhagat</cp:lastModifiedBy>
  <cp:revision>2</cp:revision>
  <dcterms:created xsi:type="dcterms:W3CDTF">2026-06-05T09:41:00Z</dcterms:created>
  <dcterms:modified xsi:type="dcterms:W3CDTF">2026-06-05T09:52:00Z</dcterms:modified>
</cp:coreProperties>
</file>