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65326">
      <w:pPr>
        <w:spacing w:before="800"/>
      </w:pPr>
    </w:p>
    <w:p w14:paraId="355D27E9">
      <w:pPr>
        <w:jc w:val="center"/>
      </w:pPr>
      <w:r>
        <w:rPr>
          <w:b/>
          <w:bCs/>
          <w:color w:val="3EA635"/>
          <w:sz w:val="32"/>
          <w:szCs w:val="32"/>
        </w:rPr>
        <w:t>TRYHACKME</w:t>
      </w:r>
    </w:p>
    <w:p w14:paraId="0A3E289F">
      <w:pPr>
        <w:spacing w:after="200"/>
        <w:jc w:val="center"/>
      </w:pPr>
      <w:r>
        <w:rPr>
          <w:b/>
          <w:bCs/>
          <w:color w:val="1B2338"/>
          <w:sz w:val="56"/>
          <w:szCs w:val="56"/>
        </w:rPr>
        <w:t>Cyber Security Training Report</w:t>
      </w:r>
    </w:p>
    <w:p w14:paraId="610367D9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Offensive Security &amp; Defensive Security — Introductory Modules</w:t>
      </w:r>
    </w:p>
    <w:p w14:paraId="562D33C0">
      <w:pPr>
        <w:pStyle w:val="2"/>
        <w:pBdr>
          <w:bottom w:val="single" w:color="3EA635" w:sz="6" w:space="0"/>
        </w:pBdr>
        <w:spacing w:before="400" w:after="200"/>
      </w:pPr>
      <w:r>
        <w:rPr>
          <w:b/>
          <w:bCs/>
          <w:color w:val="1B2338"/>
        </w:rPr>
        <w:t>1. Executive Summary</w:t>
      </w:r>
    </w:p>
    <w:p w14:paraId="3B178EC4">
      <w:pPr>
        <w:spacing w:after="160"/>
      </w:pPr>
      <w:r>
        <w:rPr>
          <w:sz w:val="22"/>
          <w:szCs w:val="22"/>
        </w:rPr>
        <w:t>This report documents the completion of two introductory TryHackMe rooms from the Cyber Security 101 learning path: Offensive Security Intro and Defensive Security Intro. Both rooms were completed to 100%, covering the foundational mindset, tools, and workflows used on each side of cyber security.</w:t>
      </w:r>
    </w:p>
    <w:p w14:paraId="31C4E799">
      <w:pPr>
        <w:spacing w:after="160"/>
      </w:pPr>
      <w:r>
        <w:rPr>
          <w:sz w:val="22"/>
          <w:szCs w:val="22"/>
        </w:rPr>
        <w:t>The offensive module focused on thinking like an attacker — using reconnaissance techniques and enumeration tools to discover hidden, unlinked pages on a simulated banking application ("FakeBank"), and exploiting an unauthenticated admin panel to demonstrate a real business-logic vulnerability (unauthorized funds transfer).</w:t>
      </w:r>
    </w:p>
    <w:p w14:paraId="6C1CD9D9">
      <w:pPr>
        <w:spacing w:after="160"/>
      </w:pPr>
      <w:r>
        <w:rPr>
          <w:sz w:val="22"/>
          <w:szCs w:val="22"/>
        </w:rPr>
        <w:t>The defensive module shifted perspective to the SOC analyst side, walking through the phases of investigating an ongoing attack against the same FakeBank environment: detecting the initial compromise, containing/stopping it, investigating the attacker, and compiling a written incident report.</w:t>
      </w:r>
    </w:p>
    <w:p w14:paraId="7B7A233E">
      <w:pPr>
        <w:spacing w:after="160"/>
      </w:pPr>
      <w:r>
        <w:rPr>
          <w:sz w:val="22"/>
          <w:szCs w:val="22"/>
        </w:rPr>
        <w:t>Together, the two rooms illustrate the same incident from both the attacker's and the defender's point of view, reinforcing how offensive findings map directly onto defensive response workflows.</w:t>
      </w:r>
    </w:p>
    <w:p w14:paraId="42C325C6">
      <w:pPr>
        <w:pStyle w:val="2"/>
        <w:pBdr>
          <w:bottom w:val="single" w:color="3EA635" w:sz="6" w:space="0"/>
        </w:pBdr>
        <w:spacing w:before="400" w:after="200"/>
      </w:pPr>
      <w:r>
        <w:rPr>
          <w:b/>
          <w:bCs/>
          <w:color w:val="1B2338"/>
        </w:rPr>
        <w:t>2. Skills Demonstrated</w:t>
      </w:r>
    </w:p>
    <w:p w14:paraId="35AE3F4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Differentiating offensive vs. defensive security roles and mindsets</w:t>
      </w:r>
    </w:p>
    <w:p w14:paraId="137BFCEC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Web reconnaissance using directory brute-forcing tools (dirb)</w:t>
      </w:r>
    </w:p>
    <w:p w14:paraId="63D475D2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Identifying and accessing unlinked/hidden web application endpoints</w:t>
      </w:r>
    </w:p>
    <w:p w14:paraId="4850B98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Recognizing and exploiting a broken access control vulnerability (unauthenticated admin panel)</w:t>
      </w:r>
    </w:p>
    <w:p w14:paraId="028F7EF7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Understanding remediation options for insecure endpoints (authentication enforcement vs. security-through-obscurity)</w:t>
      </w:r>
    </w:p>
    <w:p w14:paraId="729D534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Following the SOC incident-response lifecycle: detection → containment → investigation → reporting</w:t>
      </w:r>
    </w:p>
    <w:p w14:paraId="0796748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Translating technical findings into a written report deliverable</w:t>
      </w:r>
    </w:p>
    <w:p w14:paraId="48BF1D99">
      <w:pPr>
        <w:rPr>
          <w:b/>
          <w:bCs/>
          <w:color w:val="1B2338"/>
        </w:rPr>
      </w:pPr>
      <w:r>
        <w:rPr>
          <w:b/>
          <w:bCs/>
          <w:color w:val="1B2338"/>
        </w:rPr>
        <w:br w:type="page"/>
      </w:r>
    </w:p>
    <w:p w14:paraId="7CB52DF1">
      <w:pPr>
        <w:pStyle w:val="2"/>
        <w:pBdr>
          <w:bottom w:val="single" w:color="3EA635" w:sz="6" w:space="0"/>
        </w:pBdr>
        <w:spacing w:before="400" w:after="200"/>
        <w:rPr>
          <w:b/>
          <w:bCs/>
          <w:color w:val="1B2338"/>
        </w:rPr>
      </w:pPr>
    </w:p>
    <w:p w14:paraId="2975E8CC">
      <w:pPr>
        <w:pStyle w:val="2"/>
        <w:pBdr>
          <w:bottom w:val="single" w:color="3EA635" w:sz="6" w:space="0"/>
        </w:pBdr>
        <w:spacing w:before="400" w:after="200"/>
      </w:pPr>
      <w:r>
        <w:rPr>
          <w:b/>
          <w:bCs/>
          <w:color w:val="1B2338"/>
        </w:rPr>
        <w:t>3. Offensive Security Intro</w:t>
      </w:r>
    </w:p>
    <w:p w14:paraId="23B2B2D1">
      <w:pPr>
        <w:spacing w:after="160"/>
      </w:pPr>
      <w:r>
        <w:rPr>
          <w:i/>
          <w:iCs/>
          <w:color w:val="595959"/>
          <w:sz w:val="22"/>
          <w:szCs w:val="22"/>
        </w:rPr>
        <w:t>Room objective: test the security of FakeBank's systems by thinking and acting like an attacker.</w:t>
      </w:r>
    </w:p>
    <w:p w14:paraId="37E2A395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</w:pPr>
      <w:r>
        <w:drawing>
          <wp:inline distT="0" distB="0" distL="0" distR="0">
            <wp:extent cx="5305425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DC91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1 — Offensive Security Intro room overview, showing all four tasks completed (Room completed: 100%).</w:t>
      </w:r>
    </w:p>
    <w:p w14:paraId="220DD50D">
      <w:pPr>
        <w:pStyle w:val="3"/>
        <w:spacing w:before="300" w:after="120"/>
      </w:pPr>
      <w:r>
        <w:rPr>
          <w:b/>
          <w:bCs/>
          <w:color w:val="1B2338"/>
        </w:rPr>
        <w:t>Task 1 — Think Like a Hacker!</w:t>
      </w:r>
    </w:p>
    <w:p w14:paraId="345820EF">
      <w:pPr>
        <w:spacing w:after="160"/>
      </w:pPr>
      <w:r>
        <w:rPr>
          <w:sz w:val="22"/>
          <w:szCs w:val="22"/>
        </w:rPr>
        <w:t>This task introduced the core distinction between offensive and defensive security through a short scenario involving two bank employees:</w:t>
      </w:r>
    </w:p>
    <w:p w14:paraId="46721338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</w:pPr>
      <w:r>
        <w:drawing>
          <wp:inline distT="0" distB="0" distL="0" distR="0">
            <wp:extent cx="5305425" cy="2943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54D">
      <w:pPr>
        <w:rPr>
          <w:b/>
          <w:bCs/>
          <w:color w:val="1B2338"/>
        </w:rPr>
      </w:pPr>
      <w:r>
        <w:rPr>
          <w:b/>
          <w:bCs/>
          <w:color w:val="1B2338"/>
        </w:rPr>
        <w:br w:type="page"/>
      </w:r>
    </w:p>
    <w:p w14:paraId="63294A57">
      <w:pPr>
        <w:pStyle w:val="3"/>
        <w:spacing w:before="300" w:after="120"/>
        <w:rPr>
          <w:b/>
          <w:bCs/>
          <w:color w:val="1B2338"/>
        </w:rPr>
      </w:pPr>
    </w:p>
    <w:p w14:paraId="7414F72D">
      <w:pPr>
        <w:pStyle w:val="3"/>
        <w:spacing w:before="300" w:after="120"/>
      </w:pPr>
      <w:r>
        <w:rPr>
          <w:b/>
          <w:bCs/>
          <w:color w:val="1B2338"/>
        </w:rPr>
        <w:t>Task 2 — Starting the Lab</w:t>
      </w:r>
    </w:p>
    <w:p w14:paraId="14B28FD1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  <w:rPr>
          <w:b/>
          <w:bCs/>
          <w:color w:val="1B2338"/>
        </w:rPr>
      </w:pPr>
      <w:r>
        <w:drawing>
          <wp:inline distT="0" distB="0" distL="0" distR="0">
            <wp:extent cx="5305425" cy="1876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3258">
      <w:pPr>
        <w:pStyle w:val="3"/>
        <w:spacing w:before="300" w:after="120"/>
        <w:rPr>
          <w:b/>
          <w:bCs/>
          <w:color w:val="1B2338"/>
        </w:rPr>
      </w:pPr>
    </w:p>
    <w:p w14:paraId="33BC8223">
      <w:pPr>
        <w:pStyle w:val="3"/>
        <w:spacing w:before="300" w:after="120"/>
      </w:pPr>
      <w:r>
        <w:rPr>
          <w:b/>
          <w:bCs/>
          <w:color w:val="1B2338"/>
        </w:rPr>
        <w:t>Task 3 — Find Hidden Pages</w:t>
      </w:r>
    </w:p>
    <w:p w14:paraId="517C74FB">
      <w:pPr>
        <w:spacing w:after="160"/>
      </w:pPr>
      <w:r>
        <w:rPr>
          <w:sz w:val="22"/>
          <w:szCs w:val="22"/>
        </w:rPr>
        <w:t>This task covered a common reconnaissance technique: discovering pages that exist on a web server but are not linked anywhere in the site's navigation. Attackers look for these hidden pages because they can expose sensitive functionality never intended to be publicly reachable.:</w:t>
      </w:r>
    </w:p>
    <w:p w14:paraId="26CEA5CD">
      <w:pPr>
        <w:shd w:val="clear" w:fill="1E1E1E"/>
        <w:spacing w:after="200"/>
      </w:pPr>
      <w:r>
        <w:rPr>
          <w:rFonts w:ascii="Consolas" w:hAnsi="Consolas" w:eastAsia="Consolas" w:cs="Consolas"/>
          <w:color w:val="D4D4D4"/>
          <w:sz w:val="20"/>
          <w:szCs w:val="20"/>
        </w:rPr>
        <w:t>dirb http://fakebank.thm</w:t>
      </w:r>
    </w:p>
    <w:p w14:paraId="7C2FF729">
      <w:pPr>
        <w:spacing w:after="160"/>
      </w:pPr>
      <w:r>
        <w:rPr>
          <w:i/>
          <w:iCs/>
          <w:color w:val="595959"/>
          <w:sz w:val="20"/>
          <w:szCs w:val="20"/>
        </w:rPr>
        <w:t>dirb is a directory brute-forcing tool: it tests a wordlist of common page names against a target URL and flags which ones actually exist on the server, revealing pages that aren't linked anywhere on the site.</w:t>
      </w:r>
    </w:p>
    <w:p w14:paraId="7AC1ADA6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</w:pPr>
      <w:r>
        <w:drawing>
          <wp:inline distT="0" distB="0" distL="0" distR="0">
            <wp:extent cx="5305425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608A">
      <w:pPr>
        <w:rPr>
          <w:b/>
          <w:bCs/>
          <w:color w:val="1B2338"/>
        </w:rPr>
      </w:pPr>
      <w:r>
        <w:rPr>
          <w:b/>
          <w:bCs/>
          <w:color w:val="1B2338"/>
        </w:rPr>
        <w:br w:type="page"/>
      </w:r>
    </w:p>
    <w:p w14:paraId="2AFB3555">
      <w:pPr>
        <w:pStyle w:val="3"/>
        <w:spacing w:before="300" w:after="120"/>
        <w:rPr>
          <w:b/>
          <w:bCs/>
          <w:color w:val="1B2338"/>
        </w:rPr>
      </w:pPr>
    </w:p>
    <w:p w14:paraId="6E9088EE">
      <w:pPr>
        <w:pStyle w:val="3"/>
        <w:spacing w:before="300" w:after="120"/>
      </w:pPr>
      <w:r>
        <w:rPr>
          <w:b/>
          <w:bCs/>
          <w:color w:val="1B2338"/>
        </w:rPr>
        <w:t>Task 4 — Attack the Admin Page</w:t>
      </w:r>
    </w:p>
    <w:p w14:paraId="07D42080">
      <w:pPr>
        <w:spacing w:after="160"/>
      </w:pPr>
      <w:r>
        <w:rPr>
          <w:sz w:val="22"/>
          <w:szCs w:val="22"/>
        </w:rPr>
        <w:t>Navigating directly to the discovered /bank-transfer path revealed an unauthenticated admin panel for FakeBank, confirming that the hidden page was not secured behind a login. This is a real-world vulnerability class known as broken access control / security through obscurity.</w:t>
      </w:r>
    </w:p>
    <w:p w14:paraId="4A47399F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</w:pPr>
      <w:r>
        <w:drawing>
          <wp:inline distT="0" distB="0" distL="0" distR="0">
            <wp:extent cx="5305425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2360">
      <w:r>
        <w:br w:type="page"/>
      </w:r>
    </w:p>
    <w:p w14:paraId="57C54268">
      <w:pPr>
        <w:pStyle w:val="2"/>
        <w:pBdr>
          <w:bottom w:val="single" w:color="3EA635" w:sz="6" w:space="0"/>
        </w:pBdr>
        <w:spacing w:before="400" w:after="200"/>
        <w:rPr>
          <w:b/>
          <w:bCs/>
          <w:color w:val="1B2338"/>
        </w:rPr>
      </w:pPr>
    </w:p>
    <w:p w14:paraId="0605D8C9">
      <w:pPr>
        <w:pStyle w:val="2"/>
        <w:pBdr>
          <w:bottom w:val="single" w:color="3EA635" w:sz="6" w:space="0"/>
        </w:pBdr>
        <w:spacing w:before="400" w:after="200"/>
      </w:pPr>
      <w:r>
        <w:rPr>
          <w:b/>
          <w:bCs/>
          <w:color w:val="1B2338"/>
        </w:rPr>
        <w:t>4. Defensive Security Intro</w:t>
      </w:r>
    </w:p>
    <w:p w14:paraId="25312A21">
      <w:pPr>
        <w:spacing w:after="160"/>
      </w:pPr>
      <w:r>
        <w:rPr>
          <w:i/>
          <w:iCs/>
          <w:color w:val="595959"/>
          <w:sz w:val="22"/>
          <w:szCs w:val="22"/>
        </w:rPr>
        <w:t>Room objective: investigate an ongoing attack at FakeBank from the perspective of a SOC (Security Operations Center) analyst — the direct counterpart to the attack carried out in the Offensive Security Intro room.</w:t>
      </w:r>
    </w:p>
    <w:p w14:paraId="38EF48DE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pacing w:before="120" w:after="60"/>
        <w:jc w:val="center"/>
      </w:pPr>
      <w:r>
        <w:drawing>
          <wp:inline distT="0" distB="0" distL="0" distR="0">
            <wp:extent cx="5305425" cy="2486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59FF">
      <w:pPr>
        <w:pStyle w:val="3"/>
        <w:spacing w:before="300" w:after="120"/>
      </w:pPr>
      <w:r>
        <w:rPr>
          <w:b/>
          <w:bCs/>
          <w:color w:val="1B2338"/>
        </w:rPr>
        <w:t>Task 1 — Introduction</w:t>
      </w:r>
    </w:p>
    <w:p w14:paraId="037987DA">
      <w:pPr>
        <w:spacing w:after="160"/>
      </w:pPr>
      <w:r>
        <w:rPr>
          <w:sz w:val="22"/>
          <w:szCs w:val="22"/>
        </w:rPr>
        <w:t>Set up the scenario: the same FakeBank environment is now shown from the defender's seat, framing the room as a walkthrough of a live security incident from first detection through to final reporting.</w:t>
      </w:r>
    </w:p>
    <w:p w14:paraId="2D4BBBE1">
      <w:pPr>
        <w:pStyle w:val="3"/>
        <w:spacing w:before="300" w:after="120"/>
      </w:pPr>
      <w:r>
        <w:rPr>
          <w:b/>
          <w:bCs/>
          <w:color w:val="1B2338"/>
        </w:rPr>
        <w:t>Task 2 — Phase 1: An Attack Begins</w:t>
      </w:r>
    </w:p>
    <w:p w14:paraId="67B1380A">
      <w:pPr>
        <w:spacing w:after="160"/>
      </w:pPr>
      <w:r>
        <w:rPr>
          <w:sz w:val="22"/>
          <w:szCs w:val="22"/>
        </w:rPr>
        <w:t>Covered how a SOC analyst first becomes aware that something is wrong — recognizing the early indicators of an in-progress attack (e.g. suspicious account activity or alerts) rather than only reacting after the fact.</w:t>
      </w:r>
    </w:p>
    <w:p w14:paraId="4AC7AE12">
      <w:pPr>
        <w:pStyle w:val="3"/>
        <w:spacing w:before="300" w:after="120"/>
      </w:pPr>
      <w:r>
        <w:rPr>
          <w:b/>
          <w:bCs/>
          <w:color w:val="1B2338"/>
        </w:rPr>
        <w:t>Task 3 — Phase 2: Stopping the Attack</w:t>
      </w:r>
    </w:p>
    <w:p w14:paraId="013F957B">
      <w:pPr>
        <w:spacing w:after="160"/>
      </w:pPr>
      <w:r>
        <w:rPr>
          <w:sz w:val="22"/>
          <w:szCs w:val="22"/>
        </w:rPr>
        <w:t>Focused on containment: taking action to stop the attack from continuing or escalating once it has been identified — mirroring the industry-standard priority of containing a threat before attempting full eradication.</w:t>
      </w:r>
    </w:p>
    <w:p w14:paraId="407508DD">
      <w:pPr>
        <w:pStyle w:val="3"/>
        <w:spacing w:before="300" w:after="120"/>
      </w:pPr>
      <w:r>
        <w:rPr>
          <w:b/>
          <w:bCs/>
          <w:color w:val="1B2338"/>
        </w:rPr>
        <w:t>Task 4 — Phase 3: Investigating the Attacker</w:t>
      </w:r>
    </w:p>
    <w:p w14:paraId="62CBEABA">
      <w:pPr>
        <w:spacing w:after="160"/>
      </w:pPr>
      <w:r>
        <w:rPr>
          <w:sz w:val="22"/>
          <w:szCs w:val="22"/>
        </w:rPr>
        <w:t>Covered the investigative phase of incident response — gathering evidence, tracing what the attacker did (such as the unauthenticated /bank-transfer access from the offensive room), and building a picture of scope and impact.</w:t>
      </w:r>
    </w:p>
    <w:p w14:paraId="44FFC57C">
      <w:pPr>
        <w:pStyle w:val="3"/>
        <w:spacing w:before="300" w:after="120"/>
      </w:pPr>
      <w:r>
        <w:rPr>
          <w:b/>
          <w:bCs/>
          <w:color w:val="1B2338"/>
        </w:rPr>
        <w:t xml:space="preserve">Task 5 — </w:t>
      </w:r>
      <w:bookmarkStart w:id="0" w:name="_GoBack"/>
      <w:bookmarkEnd w:id="0"/>
      <w:r>
        <w:rPr>
          <w:b/>
          <w:bCs/>
          <w:color w:val="1B2338"/>
        </w:rPr>
        <w:t>Phase 4: Submitting Your Report</w:t>
      </w:r>
    </w:p>
    <w:p w14:paraId="2CA911B9">
      <w:pPr>
        <w:spacing w:after="160"/>
        <w:rPr>
          <w:sz w:val="22"/>
          <w:szCs w:val="22"/>
        </w:rPr>
      </w:pPr>
      <w:r>
        <w:rPr>
          <w:sz w:val="22"/>
          <w:szCs w:val="22"/>
        </w:rPr>
        <w:t>Concluded the incident response lifecycle by compiling findings into a written report — reinforcing that documentation and lessons-learned are a core deliverable of the SOC process, not an afterthought.</w:t>
      </w:r>
    </w:p>
    <w:p w14:paraId="0E1B0AD1">
      <w:pPr>
        <w:spacing w:after="160"/>
        <w:rPr>
          <w:sz w:val="22"/>
          <w:szCs w:val="22"/>
        </w:rPr>
      </w:pPr>
    </w:p>
    <w:p w14:paraId="3F400BD3">
      <w:pPr>
        <w:spacing w:after="160"/>
        <w:rPr>
          <w:sz w:val="22"/>
          <w:szCs w:val="22"/>
        </w:rPr>
      </w:pPr>
    </w:p>
    <w:sectPr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245E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1198</Words>
  <Characters>6980</Characters>
  <TotalTime>20</TotalTime>
  <ScaleCrop>false</ScaleCrop>
  <LinksUpToDate>false</LinksUpToDate>
  <CharactersWithSpaces>8109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2026-07-31T16:18:00Z</dcterms:created>
  <dc:creator>Un-named</dc:creator>
  <cp:lastModifiedBy>WPS_1722236079</cp:lastModifiedBy>
  <dcterms:modified xsi:type="dcterms:W3CDTF">2026-07-31T16:41:14Z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eyJoZGlkIjoiOTA5NmI0NTc3MWZmMjA5NDQ4OTBjMmFjNWUwMmQ4MGIiLCJ1c2VySWQiOiI1Njc0OTM0ODQxNTEifQ==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6C0876AC01FB4E38931AB3FC0084F308_12</vt:lpwstr>
  </property>
</Properties>
</file>