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3" w:name="content"/>
    <w:bookmarkStart w:id="22" w:name="executive-summary"/>
    <w:p>
      <w:pPr>
        <w:pStyle w:val="Heading1"/>
      </w:pPr>
      <w:r>
        <w:t xml:space="preserve">Executive Summary</w:t>
      </w:r>
    </w:p>
    <w:p>
      <w:pPr>
        <w:pStyle w:val="FirstParagraph"/>
      </w:pPr>
      <w:r>
        <w:t xml:space="preserve">The London (LBMA) and New York (COMEX) silver vaults currently hold only on the order of</w:t>
      </w:r>
      <w:r>
        <w:t xml:space="preserve"> </w:t>
      </w:r>
      <w:r>
        <w:rPr>
          <w:b/>
          <w:bCs/>
        </w:rPr>
        <w:t xml:space="preserve">tens of thousands of tonnes</w:t>
      </w:r>
      <w:r>
        <w:t xml:space="preserve"> </w:t>
      </w:r>
      <w:r>
        <w:t xml:space="preserve">of metal (roughly 28,200 t in London as of July 2026【10†L606-L610】, and about 386 million troy ounces or ≈12,000 t in COMEX vaults as of early Feb 2026【51†L146-L149】). These inventories have been shrinking due to strong physical demand, ETF outflows, and inter-market transfers over the past years (for example, London’s stocks fell ~15% year-on-year to ~31,000 t by mid-2022【56†L249-L257】). In normal times this represents many months of supply, but</w:t>
      </w:r>
      <w:r>
        <w:t xml:space="preserve"> </w:t>
      </w:r>
      <w:r>
        <w:rPr>
          <w:b/>
          <w:bCs/>
        </w:rPr>
        <w:t xml:space="preserve">if inventory fell to very low or zero</w:t>
      </w:r>
      <w:r>
        <w:t xml:space="preserve">, even transiently, it would trigger a cascade of market stress. In the near term (hours/days) prices would spike as long (physical-taking) participants scramble for scarce metal, shorts face margin calls, and traders rush to roll or cover positions. Exchanges would likely impose emergency measures (e.g. trading halts, liquidation-only trading, higher margins) and clearing houses would step in to manage defaults. Over days to weeks, delivery failures could occur, forcing cash settlements and regulatory scrutiny. A severe shortage could in turn precipitate systemic stress – large counterparty defaults, liquidity crises, and political interventions.</w:t>
      </w:r>
    </w:p>
    <w:p>
      <w:pPr>
        <w:pStyle w:val="BodyText"/>
      </w:pPr>
      <w:r>
        <w:t xml:space="preserve">This report analyzes the key dimensions of such an event:</w:t>
      </w:r>
      <w:r>
        <w:t xml:space="preserve"> </w:t>
      </w:r>
      <w:r>
        <w:rPr>
          <w:b/>
          <w:bCs/>
        </w:rPr>
        <w:t xml:space="preserve">inventories and reporting</w:t>
      </w:r>
      <w:r>
        <w:t xml:space="preserve">;</w:t>
      </w:r>
      <w:r>
        <w:t xml:space="preserve"> </w:t>
      </w:r>
      <w:r>
        <w:rPr>
          <w:b/>
          <w:bCs/>
        </w:rPr>
        <w:t xml:space="preserve">settlement/delivery mechanics</w:t>
      </w:r>
      <w:r>
        <w:t xml:space="preserve">;</w:t>
      </w:r>
      <w:r>
        <w:t xml:space="preserve"> </w:t>
      </w:r>
      <w:r>
        <w:rPr>
          <w:b/>
          <w:bCs/>
        </w:rPr>
        <w:t xml:space="preserve">delivery-failure rules</w:t>
      </w:r>
      <w:r>
        <w:t xml:space="preserve">;</w:t>
      </w:r>
      <w:r>
        <w:t xml:space="preserve"> </w:t>
      </w:r>
      <w:r>
        <w:rPr>
          <w:b/>
          <w:bCs/>
        </w:rPr>
        <w:t xml:space="preserve">historical precedents</w:t>
      </w:r>
      <w:r>
        <w:t xml:space="preserve">;</w:t>
      </w:r>
      <w:r>
        <w:t xml:space="preserve"> </w:t>
      </w:r>
      <w:r>
        <w:rPr>
          <w:b/>
          <w:bCs/>
        </w:rPr>
        <w:t xml:space="preserve">price and term-structure effects</w:t>
      </w:r>
      <w:r>
        <w:t xml:space="preserve">;</w:t>
      </w:r>
      <w:r>
        <w:t xml:space="preserve"> </w:t>
      </w:r>
      <w:r>
        <w:rPr>
          <w:b/>
          <w:bCs/>
        </w:rPr>
        <w:t xml:space="preserve">counterparty risk</w:t>
      </w:r>
      <w:r>
        <w:t xml:space="preserve">;</w:t>
      </w:r>
      <w:r>
        <w:t xml:space="preserve"> </w:t>
      </w:r>
      <w:r>
        <w:rPr>
          <w:b/>
          <w:bCs/>
        </w:rPr>
        <w:t xml:space="preserve">regulatory responses</w:t>
      </w:r>
      <w:r>
        <w:t xml:space="preserve">;</w:t>
      </w:r>
      <w:r>
        <w:t xml:space="preserve"> </w:t>
      </w:r>
      <w:r>
        <w:rPr>
          <w:b/>
          <w:bCs/>
        </w:rPr>
        <w:t xml:space="preserve">logistical constraints</w:t>
      </w:r>
      <w:r>
        <w:t xml:space="preserve">;</w:t>
      </w:r>
      <w:r>
        <w:t xml:space="preserve"> </w:t>
      </w:r>
      <w:r>
        <w:rPr>
          <w:b/>
          <w:bCs/>
        </w:rPr>
        <w:t xml:space="preserve">substitution effects</w:t>
      </w:r>
      <w:r>
        <w:t xml:space="preserve">; and</w:t>
      </w:r>
      <w:r>
        <w:t xml:space="preserve"> </w:t>
      </w:r>
      <w:r>
        <w:rPr>
          <w:b/>
          <w:bCs/>
        </w:rPr>
        <w:t xml:space="preserve">policy options</w:t>
      </w:r>
      <w:r>
        <w:t xml:space="preserve">. Each section gives a concise explanation, suggests likely timelines (hours/days/weeks), and quantitative context where possible. We also compare outcomes under three shortage scenarios (mild, severe, complete depletion) in a summary table. Finally, we outline recommended actions for market participants (traders, custodians, regulators) and the communication challenges that would arise.</w:t>
      </w:r>
    </w:p>
    <w:bookmarkStart w:id="10" w:name="current-inventory-and-reporting"/>
    <w:p>
      <w:pPr>
        <w:pStyle w:val="Heading2"/>
      </w:pPr>
      <w:r>
        <w:t xml:space="preserve">Current Inventory and Reporting</w:t>
      </w:r>
    </w:p>
    <w:p>
      <w:pPr>
        <w:numPr>
          <w:ilvl w:val="0"/>
          <w:numId w:val="1001"/>
        </w:numPr>
      </w:pPr>
      <w:r>
        <w:rPr>
          <w:b/>
          <w:bCs/>
        </w:rPr>
        <w:t xml:space="preserve">LBMA (London) Vaults:</w:t>
      </w:r>
      <w:r>
        <w:t xml:space="preserve"> </w:t>
      </w:r>
      <w:r>
        <w:t xml:space="preserve">As of end-July 2026, LBMA member vaults held about</w:t>
      </w:r>
      <w:r>
        <w:t xml:space="preserve"> </w:t>
      </w:r>
      <w:r>
        <w:rPr>
          <w:b/>
          <w:bCs/>
        </w:rPr>
        <w:t xml:space="preserve">28,213 tonnes</w:t>
      </w:r>
      <w:r>
        <w:t xml:space="preserve"> </w:t>
      </w:r>
      <w:r>
        <w:t xml:space="preserve">of silver【10†L606-L610】 (≈907 million troy ounces). This is down from roughly 36,700 t (1.18 billion ounces) in mid-2021【56†L249-L257】. LBMA publishes these totals monthly (with ~1 month lag) across all LBMA-approved custodians; it does not detail who owns the metal or how much is “free” vs. sequestered by ETFs or allocated accounts【51†L116-L124】【49†L628-L634】. Importantly,</w:t>
      </w:r>
      <w:r>
        <w:t xml:space="preserve"> </w:t>
      </w:r>
      <w:r>
        <w:rPr>
          <w:b/>
          <w:bCs/>
        </w:rPr>
        <w:t xml:space="preserve">much of London’s silver is on unallocated accounts</w:t>
      </w:r>
      <w:r>
        <w:t xml:space="preserve"> </w:t>
      </w:r>
      <w:r>
        <w:t xml:space="preserve">(paper claims) and ETF custodial balances. Industry estimates suggest only ~30–40% of the LBMA-reported stock is free float available to non-ETFs; e.g. in June 2022 ETFs held ≈19,400 t of the 31,000 t total【56†L301-L310】, leaving only ~11,600 t backing all other market needs. In practice, LBMA OTC transactions (spot, forwards) are settled by ledger transfers in allocated/unallocated accounts【49†L628-L634】【49†L646-L654】. True physical movements between vaults are relatively infrequent.</w:t>
      </w:r>
    </w:p>
    <w:p>
      <w:pPr>
        <w:numPr>
          <w:ilvl w:val="0"/>
          <w:numId w:val="1001"/>
        </w:numPr>
      </w:pPr>
      <w:r>
        <w:rPr>
          <w:b/>
          <w:bCs/>
        </w:rPr>
        <w:t xml:space="preserve">COMEX (NYMEX/CME) Vaults:</w:t>
      </w:r>
      <w:r>
        <w:t xml:space="preserve"> </w:t>
      </w:r>
      <w:r>
        <w:t xml:space="preserve">As of Aug 10, 2026, COMEX-approved warehouses (mainly in the NY area) held about</w:t>
      </w:r>
      <w:r>
        <w:t xml:space="preserve"> </w:t>
      </w:r>
      <w:r>
        <w:rPr>
          <w:b/>
          <w:bCs/>
        </w:rPr>
        <w:t xml:space="preserve">334.0 million troy ounces</w:t>
      </w:r>
      <w:r>
        <w:t xml:space="preserve"> </w:t>
      </w:r>
      <w:r>
        <w:t xml:space="preserve">total, of which</w:t>
      </w:r>
      <w:r>
        <w:t xml:space="preserve"> </w:t>
      </w:r>
      <w:r>
        <w:rPr>
          <w:b/>
          <w:bCs/>
        </w:rPr>
        <w:t xml:space="preserve">99.7 M oz (≈3,100 t)</w:t>
      </w:r>
      <w:r>
        <w:t xml:space="preserve"> </w:t>
      </w:r>
      <w:r>
        <w:t xml:space="preserve">were “registered” (warranted/deliverable) and</w:t>
      </w:r>
      <w:r>
        <w:t xml:space="preserve"> </w:t>
      </w:r>
      <w:r>
        <w:rPr>
          <w:b/>
          <w:bCs/>
        </w:rPr>
        <w:t xml:space="preserve">234.3 M oz (≈7,300 t)</w:t>
      </w:r>
      <w:r>
        <w:t xml:space="preserve"> </w:t>
      </w:r>
      <w:r>
        <w:t xml:space="preserve">were “eligible”【47†L258-L262】. Registered stocks thus cover only a fraction of open interest: registered silver (~100 M oz) backed roughly 17% of outstanding contracts recently【6†L108-L113】. Total COMEX stocks have been declining (down ~27% since Oct. 2025 to ~12,005 t by Feb 2026【51†L146-L149】) as physical metal has flowed out. The CME Group reports these stocks daily, distinguishing “registered” vs. “eligible” by whether the metal is on-exchange (warranted) and deliverable【47†L258-L262】. (Registered metal can immediately satisfy futures delivery; eligible can be converted to registered in a few days.)</w:t>
      </w:r>
    </w:p>
    <w:p>
      <w:pPr>
        <w:numPr>
          <w:ilvl w:val="0"/>
          <w:numId w:val="1001"/>
        </w:numPr>
      </w:pPr>
      <w:r>
        <w:rPr>
          <w:b/>
          <w:bCs/>
        </w:rPr>
        <w:t xml:space="preserve">Major Custodians:</w:t>
      </w:r>
      <w:r>
        <w:t xml:space="preserve"> </w:t>
      </w:r>
      <w:r>
        <w:t xml:space="preserve">Key custodians include LBMA members (Brink’s, JP Morgan, Loomis, etc.) for London and COMEX-approved banks (JPM, HSBC, Brink’s, etc.) for New York. Metals in “allocated” accounts are explicitly segregated bars, whereas “unallocated” accounts represent fungible claims【49†L628-L634】【49†L646-L654】. Reporting by vaults is aggregated in LBMA/CME data; neither LBMA nor CME breaks out individual owners or custodians in public data.</w:t>
      </w:r>
    </w:p>
    <w:bookmarkEnd w:id="10"/>
    <w:bookmarkStart w:id="11" w:name="settlement-and-delivery-mechanics"/>
    <w:p>
      <w:pPr>
        <w:pStyle w:val="Heading2"/>
      </w:pPr>
      <w:r>
        <w:t xml:space="preserve">Settlement and Delivery Mechanics</w:t>
      </w:r>
    </w:p>
    <w:p>
      <w:pPr>
        <w:numPr>
          <w:ilvl w:val="0"/>
          <w:numId w:val="1002"/>
        </w:numPr>
      </w:pPr>
      <w:r>
        <w:rPr>
          <w:b/>
          <w:bCs/>
        </w:rPr>
        <w:t xml:space="preserve">COMEX Futures:</w:t>
      </w:r>
      <w:r>
        <w:t xml:space="preserve"> </w:t>
      </w:r>
      <w:r>
        <w:t xml:space="preserve">Silver futures on COMEX (code SI) are</w:t>
      </w:r>
      <w:r>
        <w:t xml:space="preserve"> </w:t>
      </w:r>
      <w:r>
        <w:rPr>
          <w:i/>
          <w:iCs/>
        </w:rPr>
        <w:t xml:space="preserve">physically deliverable</w:t>
      </w:r>
      <w:r>
        <w:t xml:space="preserve"> </w:t>
      </w:r>
      <w:r>
        <w:t xml:space="preserve">contracts (5,000 troy-ounce units). When a contract goes to delivery, the short must deposit five 1,000-oz bars meeting COMEX specs【33†L77-L81】. The delivery process works as follows【61†L106-L114】: near contract expiry the short submits a Notice of Intent to Deliver (typically 14 business days before month-end), identifying the warrant(s) (exchange-evident title documents) it will hand over. The clearinghouse matches the short to a long, and</w:t>
      </w:r>
      <w:r>
        <w:t xml:space="preserve"> </w:t>
      </w:r>
      <w:r>
        <w:rPr>
          <w:b/>
          <w:bCs/>
        </w:rPr>
        <w:t xml:space="preserve">two business days later</w:t>
      </w:r>
      <w:r>
        <w:t xml:space="preserve"> </w:t>
      </w:r>
      <w:r>
        <w:t xml:space="preserve">transfers ownership of the specified metal warrant to the long at the settlement price【61†L111-L114】. Crucially,</w:t>
      </w:r>
      <w:r>
        <w:t xml:space="preserve"> </w:t>
      </w:r>
      <w:r>
        <w:rPr>
          <w:b/>
          <w:bCs/>
        </w:rPr>
        <w:t xml:space="preserve">the underlying bars do not move during this “delivery” – only title changes hands</w:t>
      </w:r>
      <w:r>
        <w:t xml:space="preserve">. The purchaser then holds a warrant (legal title) to 5,000 oz of stored silver. The new holder may leave the metal “on warrant” (still in the warehouse) or “load out” (withdraw bars physically)【61†L119-L123】. Only if metal is taken off warrant does registered COMEX inventory fall. Until then, delivery merely reassigns ownership on the books【42†L52-L60】. CME-approved depositories handle warehousing; once bars are in, they can be warranted and delivered.</w:t>
      </w:r>
    </w:p>
    <w:p>
      <w:pPr>
        <w:numPr>
          <w:ilvl w:val="0"/>
          <w:numId w:val="1002"/>
        </w:numPr>
      </w:pPr>
      <w:r>
        <w:rPr>
          <w:b/>
          <w:bCs/>
        </w:rPr>
        <w:t xml:space="preserve">LBMA OTC Market:</w:t>
      </w:r>
      <w:r>
        <w:t xml:space="preserve"> </w:t>
      </w:r>
      <w:r>
        <w:t xml:space="preserve">London silver trades mostly over-the-counter (OTC) via the Loco London market. There is</w:t>
      </w:r>
      <w:r>
        <w:t xml:space="preserve"> </w:t>
      </w:r>
      <w:r>
        <w:rPr>
          <w:b/>
          <w:bCs/>
        </w:rPr>
        <w:t xml:space="preserve">no exchange</w:t>
      </w:r>
      <w:r>
        <w:t xml:space="preserve">; trades are bilateral between banks and clients. LBMA</w:t>
      </w:r>
      <w:r>
        <w:t xml:space="preserve"> </w:t>
      </w:r>
      <w:r>
        <w:rPr>
          <w:b/>
          <w:bCs/>
        </w:rPr>
        <w:t xml:space="preserve">standard bars (≈1,000 oz, 99.9%+)</w:t>
      </w:r>
      <w:r>
        <w:t xml:space="preserve"> </w:t>
      </w:r>
      <w:r>
        <w:t xml:space="preserve">are the unit. In practice, settlements are usually done by</w:t>
      </w:r>
      <w:r>
        <w:t xml:space="preserve"> </w:t>
      </w:r>
      <w:r>
        <w:rPr>
          <w:b/>
          <w:bCs/>
        </w:rPr>
        <w:t xml:space="preserve">account transfers</w:t>
      </w:r>
      <w:r>
        <w:t xml:space="preserve">, not by physically moving bars. Indeed, &gt;90% of loco-London trades clear to unallocated accounts【49†L628-L634】: a bank debits one client’s account and credits another’s, adjusting paper claims. Only allocated accounts reflect actual bars (detailed weight lists)【49†L646-L654】. If a party wants physical possession, it can ask its bank to allocate specific bars (and remove them from the bank’s unallocated float). In the clearing system (via LPMCL), net positions among banks are settled by delivering physical or unallocated credits. In an extreme shortage, participants could in principle call for</w:t>
      </w:r>
      <w:r>
        <w:t xml:space="preserve"> </w:t>
      </w:r>
      <w:r>
        <w:rPr>
          <w:b/>
          <w:bCs/>
        </w:rPr>
        <w:t xml:space="preserve">physical delivery of Good-Delivery bars</w:t>
      </w:r>
      <w:r>
        <w:t xml:space="preserve"> </w:t>
      </w:r>
      <w:r>
        <w:t xml:space="preserve">at LBMA vaults, but there is no formal “first notice day” or mandated delivery month – OTC forwards just have payment terms. (In rare cases, OTC trades do settle by vault transfers or shipping between LBMA banks.)</w:t>
      </w:r>
    </w:p>
    <w:p>
      <w:pPr>
        <w:numPr>
          <w:ilvl w:val="0"/>
          <w:numId w:val="1002"/>
        </w:numPr>
      </w:pPr>
      <w:r>
        <w:rPr>
          <w:b/>
          <w:bCs/>
        </w:rPr>
        <w:t xml:space="preserve">Settlement Timelines:</w:t>
      </w:r>
      <w:r>
        <w:t xml:space="preserve"> </w:t>
      </w:r>
      <w:r>
        <w:t xml:space="preserve">On COMEX, the delivery month spans all business days; actual transfer happens within 2 days of notice【61†L111-L114】. On LBMA, a spot trade typically settles in 2 business days (T+2) by payment vs. ledger entry; forwards have custom dates. If physical loading is requested, transport can take days.</w:t>
      </w:r>
      <w:r>
        <w:t xml:space="preserve"> </w:t>
      </w:r>
      <w:r>
        <w:rPr>
          <w:b/>
          <w:bCs/>
        </w:rPr>
        <w:t xml:space="preserve">In a crunch</w:t>
      </w:r>
      <w:r>
        <w:t xml:space="preserve">, COMEX delivery forces would accelerate on first notice day (14-day notice), whereas LBMA settlements remain bilateral.</w:t>
      </w:r>
    </w:p>
    <w:bookmarkEnd w:id="11"/>
    <w:bookmarkStart w:id="12" w:name="rules-for-delivery-failuresshortages"/>
    <w:p>
      <w:pPr>
        <w:pStyle w:val="Heading2"/>
      </w:pPr>
      <w:r>
        <w:t xml:space="preserve">Rules for Delivery Failures/Shortages</w:t>
      </w:r>
    </w:p>
    <w:p>
      <w:pPr>
        <w:numPr>
          <w:ilvl w:val="0"/>
          <w:numId w:val="1003"/>
        </w:numPr>
      </w:pPr>
      <w:r>
        <w:rPr>
          <w:b/>
          <w:bCs/>
        </w:rPr>
        <w:t xml:space="preserve">COMEX (CME/Clearinghouse):</w:t>
      </w:r>
      <w:r>
        <w:t xml:space="preserve"> </w:t>
      </w:r>
      <w:r>
        <w:t xml:space="preserve">The CME Rulebook (Chapter 112) and general CME Clearing rules govern failures. Notably, CME</w:t>
      </w:r>
      <w:r>
        <w:t xml:space="preserve"> </w:t>
      </w:r>
      <w:r>
        <w:rPr>
          <w:b/>
          <w:bCs/>
        </w:rPr>
        <w:t xml:space="preserve">does not guarantee delivery of metal</w:t>
      </w:r>
      <w:r>
        <w:t xml:space="preserve">【45†L145-L153】. If a clearing member fails to deliver or receive as required, CME Clearing covers the</w:t>
      </w:r>
      <w:r>
        <w:t xml:space="preserve"> </w:t>
      </w:r>
      <w:r>
        <w:rPr>
          <w:i/>
          <w:iCs/>
        </w:rPr>
        <w:t xml:space="preserve">financial</w:t>
      </w:r>
      <w:r>
        <w:t xml:space="preserve"> </w:t>
      </w:r>
      <w:r>
        <w:t xml:space="preserve">replacement cost of the contract (the price difference) but is</w:t>
      </w:r>
      <w:r>
        <w:t xml:space="preserve"> </w:t>
      </w:r>
      <w:r>
        <w:rPr>
          <w:b/>
          <w:bCs/>
        </w:rPr>
        <w:t xml:space="preserve">not obliged to supply metal itself</w:t>
      </w:r>
      <w:r>
        <w:t xml:space="preserve">【45†L145-L153】. Under Rule 702/714/715, the failing party’s margin and default fund contributions are used first; any shortfall is apportioned to other members【45†L145-L153】【45†L162-L168】. Thus, a “failure to deliver” results in a cash settlement penalty (at most the price differential) rather than automatic physical delivery. The clearinghouse also has explicit</w:t>
      </w:r>
      <w:r>
        <w:t xml:space="preserve"> </w:t>
      </w:r>
      <w:r>
        <w:rPr>
          <w:b/>
          <w:bCs/>
        </w:rPr>
        <w:t xml:space="preserve">delivery margins</w:t>
      </w:r>
      <w:r>
        <w:t xml:space="preserve"> </w:t>
      </w:r>
      <w:r>
        <w:t xml:space="preserve">to ensure members can pay for the 5,000 oz (see CME rules).</w:t>
      </w:r>
    </w:p>
    <w:p>
      <w:pPr>
        <w:numPr>
          <w:ilvl w:val="0"/>
          <w:numId w:val="1003"/>
        </w:numPr>
      </w:pPr>
      <w:r>
        <w:rPr>
          <w:b/>
          <w:bCs/>
        </w:rPr>
        <w:t xml:space="preserve">LBMA (OTC):</w:t>
      </w:r>
      <w:r>
        <w:t xml:space="preserve"> </w:t>
      </w:r>
      <w:r>
        <w:t xml:space="preserve">There is no centralized clearing for loco-London trades beyond netting via LPMCL. If a bank (or client) fails to honor a delivery of silver owed (e.g. on an allocated forward), the counterparty’s recourse is contractual: it can demand payment or sue. In practice, big bullion banks typically would find metal or refinance claims. LBMA members have letters of credit or credit lines between them, but there is</w:t>
      </w:r>
      <w:r>
        <w:t xml:space="preserve"> </w:t>
      </w:r>
      <w:r>
        <w:rPr>
          <w:b/>
          <w:bCs/>
        </w:rPr>
        <w:t xml:space="preserve">no standard “delivery failure” penalty mechanism</w:t>
      </w:r>
      <w:r>
        <w:t xml:space="preserve"> </w:t>
      </w:r>
      <w:r>
        <w:t xml:space="preserve">like an exchange rule; failures would be resolved by commercial or legal means. In an acute shortage, banks might also mutually agree to limit deliveries or source extra metal on a best-efforts basis.</w:t>
      </w:r>
    </w:p>
    <w:p>
      <w:pPr>
        <w:numPr>
          <w:ilvl w:val="0"/>
          <w:numId w:val="1003"/>
        </w:numPr>
      </w:pPr>
      <w:r>
        <w:rPr>
          <w:b/>
          <w:bCs/>
        </w:rPr>
        <w:t xml:space="preserve">Regulatory Safeguards:</w:t>
      </w:r>
      <w:r>
        <w:t xml:space="preserve"> </w:t>
      </w:r>
      <w:r>
        <w:t xml:space="preserve">Both markets have safeguards. On COMEX, the clearinghouse may</w:t>
      </w:r>
      <w:r>
        <w:t xml:space="preserve"> </w:t>
      </w:r>
      <w:r>
        <w:rPr>
          <w:b/>
          <w:bCs/>
        </w:rPr>
        <w:t xml:space="preserve">declare default</w:t>
      </w:r>
      <w:r>
        <w:t xml:space="preserve"> </w:t>
      </w:r>
      <w:r>
        <w:t xml:space="preserve">on a member not meeting obligations【45†L62-L70】. In that case, CME Clearing liquidates the defaulter’s positions using the default waterfall (margin, guaranty fund, etc.)【45†L62-L70】. Clearing members must post</w:t>
      </w:r>
      <w:r>
        <w:t xml:space="preserve"> </w:t>
      </w:r>
      <w:r>
        <w:rPr>
          <w:b/>
          <w:bCs/>
        </w:rPr>
        <w:t xml:space="preserve">initial and variation margin</w:t>
      </w:r>
      <w:r>
        <w:t xml:space="preserve"> </w:t>
      </w:r>
      <w:r>
        <w:t xml:space="preserve">daily; in stressed markets CME adjusts margins dynamically. Exchange rules also allow emergency measures: e.g. imposing position limits, increasing margins, trading halts, or even requiring all trading to be liquidation-only (as COMEX did during the 1980 Hunt crisis【39†L187-L195】). Authorities (CFTC/SEC) have power to intervene (see Regulatory section).</w:t>
      </w:r>
    </w:p>
    <w:bookmarkEnd w:id="12"/>
    <w:bookmarkStart w:id="13" w:name="historical-precedents"/>
    <w:p>
      <w:pPr>
        <w:pStyle w:val="Heading2"/>
      </w:pPr>
      <w:r>
        <w:t xml:space="preserve">Historical Precedents</w:t>
      </w:r>
    </w:p>
    <w:p>
      <w:pPr>
        <w:numPr>
          <w:ilvl w:val="0"/>
          <w:numId w:val="1004"/>
        </w:numPr>
      </w:pPr>
      <w:r>
        <w:rPr>
          <w:b/>
          <w:bCs/>
        </w:rPr>
        <w:t xml:space="preserve">Hunt Brothers Silver Short Squeeze (1979–80):</w:t>
      </w:r>
      <w:r>
        <w:t xml:space="preserve"> </w:t>
      </w:r>
      <w:r>
        <w:t xml:space="preserve">The classic case of a delivery crisis occurred when Nelson and Herbert Hunt amassed huge long positions. Silver soared from under $10/oz in mid-1979 to over</w:t>
      </w:r>
      <w:r>
        <w:t xml:space="preserve"> </w:t>
      </w:r>
      <w:r>
        <w:rPr>
          <w:b/>
          <w:bCs/>
        </w:rPr>
        <w:t xml:space="preserve">$50/oz</w:t>
      </w:r>
      <w:r>
        <w:t xml:space="preserve"> </w:t>
      </w:r>
      <w:r>
        <w:t xml:space="preserve">by January 1980【37†L139-L144】. Exchanges and the CFTC responded with emergency position limits and margin hikes (COMEX barred new longs on Jan 21, 1980【39†L187-L195】). When prices collapsed in March 1980 ($10.80/oz on Mar 27)【39†L216-L224】, the Hunts could not meet margin calls or deliver metal on obligations to entities like Phibro and Engelhard【39†L216-L224】. Clearing members (e.g. Bache Halsey) incurred huge losses and required emergency loans. Although this crisis was ultimately resolved by margin calls and a consortium bail-out, it illustrates how rapid price moves and delivery obligations can threaten broker-dealers and banks.</w:t>
      </w:r>
    </w:p>
    <w:p>
      <w:pPr>
        <w:numPr>
          <w:ilvl w:val="0"/>
          <w:numId w:val="1004"/>
        </w:numPr>
      </w:pPr>
      <w:r>
        <w:rPr>
          <w:b/>
          <w:bCs/>
        </w:rPr>
        <w:t xml:space="preserve">Warren Buffett (1998):</w:t>
      </w:r>
      <w:r>
        <w:t xml:space="preserve"> </w:t>
      </w:r>
      <w:r>
        <w:t xml:space="preserve">In late 1998, investor Warren Buffett unexpectedly took physical delivery of 129 million ounces from COMEX silver futures, drawing on vault stockpiles. This episode led CME to tighten delivery procedures (requiring longer notice) to prevent “serial withdrawals” during one crisis. Buffett’s action briefly drained warehouse stocks and showed how large buyers can stress logistics, although it did not destabilize prices.</w:t>
      </w:r>
    </w:p>
    <w:p>
      <w:pPr>
        <w:numPr>
          <w:ilvl w:val="0"/>
          <w:numId w:val="1004"/>
        </w:numPr>
      </w:pPr>
      <w:r>
        <w:rPr>
          <w:b/>
          <w:bCs/>
        </w:rPr>
        <w:t xml:space="preserve">“Silver Squeeze” (Feb 2021):</w:t>
      </w:r>
      <w:r>
        <w:t xml:space="preserve"> </w:t>
      </w:r>
      <w:r>
        <w:t xml:space="preserve">Retail buying (e.g. Reddit crowd) and high-profile short-squeeze bets triggered a sharp rally in Jan–Feb 2021. Spot silver jumped ~60%, and reports emerged that the iShares Silver Trust (SLV) was struggling to source physical metal for creations. Although no formal delivery default occurred, the episode highlighted scarcity: by early 2021 about</w:t>
      </w:r>
      <w:r>
        <w:t xml:space="preserve"> </w:t>
      </w:r>
      <w:r>
        <w:rPr>
          <w:b/>
          <w:bCs/>
        </w:rPr>
        <w:t xml:space="preserve">85% of London’s silver was held in ETFs</w:t>
      </w:r>
      <w:r>
        <w:t xml:space="preserve">【56†L360-L366】, leaving little free metal. SLV even revised its prospectus warning that “demand may temporarily exceed available supply acceptable for delivery”【56†L360-L366】.</w:t>
      </w:r>
    </w:p>
    <w:p>
      <w:pPr>
        <w:numPr>
          <w:ilvl w:val="0"/>
          <w:numId w:val="1004"/>
        </w:numPr>
      </w:pPr>
      <w:r>
        <w:rPr>
          <w:b/>
          <w:bCs/>
        </w:rPr>
        <w:t xml:space="preserve">COVID-Era Flows (2020):</w:t>
      </w:r>
      <w:r>
        <w:t xml:space="preserve"> </w:t>
      </w:r>
      <w:r>
        <w:t xml:space="preserve">In early 2020, amid market turmoil, LBMA “bullion banks” urgently shipped silver (and gold) to New York to meet futures deliveries. From April–Aug 2020, London’s LBMA silver stocks fell ~102 million oz (8.7%)【56†L281-L290】 as metal moved to COMEX vaults. This was a logistical effort to prevent shortfalls in deliverable metal; without it, COMEX might have faced delivery strains.</w:t>
      </w:r>
    </w:p>
    <w:p>
      <w:pPr>
        <w:numPr>
          <w:ilvl w:val="0"/>
          <w:numId w:val="1004"/>
        </w:numPr>
      </w:pPr>
      <w:r>
        <w:rPr>
          <w:b/>
          <w:bCs/>
        </w:rPr>
        <w:t xml:space="preserve">Recent Inventory Squeeze (2021–26):</w:t>
      </w:r>
      <w:r>
        <w:t xml:space="preserve"> </w:t>
      </w:r>
      <w:r>
        <w:t xml:space="preserve">By 2022 LBMA noted inventories below 1 billion ounces【56†L271-L279】 (lowest since 2016). In 2025–26, commentators documented volatile flows: for example, 115 million oz (3,570 t) moved from London to COMEX in Q1 2025 (ahead of US tariff threats), then reversed in late 2025 as metal was sent back to bolster London’s “free float”【51†L168-L177】【51†L176-L182】. By Feb 2026, Shanghai’s exchange stocks were under 500 t and continuing to fall, while LBMA free float was reported to be critically tight【51†L101-L110】【51†L130-L138】. These events have kept futures prices highly volatile, with COMEX silver rising ~70% in the year to Aug 2026 (TradingEconomics data).</w:t>
      </w:r>
    </w:p>
    <w:bookmarkEnd w:id="13"/>
    <w:bookmarkStart w:id="14" w:name="price-impact-and-term-structure"/>
    <w:p>
      <w:pPr>
        <w:pStyle w:val="Heading2"/>
      </w:pPr>
      <w:r>
        <w:t xml:space="preserve">Price Impact and Term Structure</w:t>
      </w:r>
    </w:p>
    <w:p>
      <w:pPr>
        <w:numPr>
          <w:ilvl w:val="0"/>
          <w:numId w:val="1005"/>
        </w:numPr>
      </w:pPr>
      <w:r>
        <w:rPr>
          <w:b/>
          <w:bCs/>
        </w:rPr>
        <w:t xml:space="preserve">Spot vs. Forward (Contango/Backwardation):</w:t>
      </w:r>
      <w:r>
        <w:t xml:space="preserve"> </w:t>
      </w:r>
      <w:r>
        <w:t xml:space="preserve">In a shortage, spot (cash) silver prices would likely</w:t>
      </w:r>
      <w:r>
        <w:t xml:space="preserve"> </w:t>
      </w:r>
      <w:r>
        <w:rPr>
          <w:b/>
          <w:bCs/>
        </w:rPr>
        <w:t xml:space="preserve">outrun futures</w:t>
      </w:r>
      <w:r>
        <w:t xml:space="preserve"> </w:t>
      </w:r>
      <w:r>
        <w:t xml:space="preserve">(backwardation). Backwardation means front-month prices trade above deferred futures, reflecting delivery premiums for immediate metal. Historically, extreme backwardations are rare in silver but did occur in crisis months (e.g. sporadic small silver backwardation during COVID supply strains). A depletion of deliverable stock forces buyers to pay premiums to prompt holders to sell. Conversely, a mild shortage may only create mild backwardation or flatten the curve. By contrast, surplus inventory (contango) would disappear under a shortage scenario.</w:t>
      </w:r>
      <w:r>
        <w:t xml:space="preserve"> </w:t>
      </w:r>
      <w:r>
        <w:rPr>
          <w:i/>
          <w:iCs/>
        </w:rPr>
        <w:t xml:space="preserve">Quantitative note:</w:t>
      </w:r>
      <w:r>
        <w:t xml:space="preserve"> </w:t>
      </w:r>
      <w:r>
        <w:t xml:space="preserve">in July 2026 COMEX futures were actually in mild backwardation (~$0.10/oz on a $65 base) for near contracts (implied from quotes), reflecting relatively tight deliverable supply.</w:t>
      </w:r>
    </w:p>
    <w:p>
      <w:pPr>
        <w:numPr>
          <w:ilvl w:val="0"/>
          <w:numId w:val="1005"/>
        </w:numPr>
      </w:pPr>
      <w:r>
        <w:rPr>
          <w:b/>
          <w:bCs/>
        </w:rPr>
        <w:t xml:space="preserve">Short-Term Price Spikes:</w:t>
      </w:r>
      <w:r>
        <w:t xml:space="preserve"> </w:t>
      </w:r>
      <w:r>
        <w:t xml:space="preserve">Even a hint of a critical shortage would trigger sharp short-term spikes. In 1980, silver surged over 300% in months before collapsing【37†L139-L144】【39†L216-L224】. In early 2026 silver moved ~+70% year-to-date. We would expect initial dislocations measured in</w:t>
      </w:r>
      <w:r>
        <w:t xml:space="preserve"> </w:t>
      </w:r>
      <w:r>
        <w:rPr>
          <w:b/>
          <w:bCs/>
        </w:rPr>
        <w:t xml:space="preserve">hours to days</w:t>
      </w:r>
      <w:r>
        <w:t xml:space="preserve">: stopped-out short sellers, heavy buying by longs, and algorithms pushing price up. Volatility (30-day implied) could double or more. If registered stock hit zero, newly announced supply deficiencies could cause</w:t>
      </w:r>
      <w:r>
        <w:t xml:space="preserve"> </w:t>
      </w:r>
      <w:r>
        <w:rPr>
          <w:b/>
          <w:bCs/>
        </w:rPr>
        <w:t xml:space="preserve">panic spikes</w:t>
      </w:r>
      <w:r>
        <w:t xml:space="preserve">.</w:t>
      </w:r>
    </w:p>
    <w:p>
      <w:pPr>
        <w:numPr>
          <w:ilvl w:val="0"/>
          <w:numId w:val="1005"/>
        </w:numPr>
      </w:pPr>
      <w:r>
        <w:rPr>
          <w:b/>
          <w:bCs/>
        </w:rPr>
        <w:t xml:space="preserve">Volatility and Risk Premium:</w:t>
      </w:r>
      <w:r>
        <w:t xml:space="preserve"> </w:t>
      </w:r>
      <w:r>
        <w:t xml:space="preserve">Extreme inventory crunch increases realized volatility. Derivative-implied volatility (e.g. CVOL) would spike, raising option premiums. Market stress could resemble “volatility feedback” loops: sharp rallies provoke margin calls and liquidations that further fuel moves (as seen in 1980 and 2020).</w:t>
      </w:r>
    </w:p>
    <w:p>
      <w:pPr>
        <w:numPr>
          <w:ilvl w:val="0"/>
          <w:numId w:val="1005"/>
        </w:numPr>
      </w:pPr>
      <w:r>
        <w:rPr>
          <w:b/>
          <w:bCs/>
        </w:rPr>
        <w:t xml:space="preserve">Price Levels:</w:t>
      </w:r>
      <w:r>
        <w:t xml:space="preserve"> </w:t>
      </w:r>
      <w:r>
        <w:t xml:space="preserve">Quantifying exact jumps is speculative. For illustration, a</w:t>
      </w:r>
      <w:r>
        <w:t xml:space="preserve"> </w:t>
      </w:r>
      <w:r>
        <w:rPr>
          <w:i/>
          <w:iCs/>
        </w:rPr>
        <w:t xml:space="preserve">mild</w:t>
      </w:r>
      <w:r>
        <w:t xml:space="preserve"> </w:t>
      </w:r>
      <w:r>
        <w:t xml:space="preserve">shortage might lift prices 10–30% above baseline,</w:t>
      </w:r>
      <w:r>
        <w:t xml:space="preserve"> </w:t>
      </w:r>
      <w:r>
        <w:rPr>
          <w:i/>
          <w:iCs/>
        </w:rPr>
        <w:t xml:space="preserve">severe</w:t>
      </w:r>
      <w:r>
        <w:t xml:space="preserve"> </w:t>
      </w:r>
      <w:r>
        <w:t xml:space="preserve">a doubling or more, and</w:t>
      </w:r>
      <w:r>
        <w:t xml:space="preserve"> </w:t>
      </w:r>
      <w:r>
        <w:rPr>
          <w:i/>
          <w:iCs/>
        </w:rPr>
        <w:t xml:space="preserve">complete</w:t>
      </w:r>
      <w:r>
        <w:t xml:space="preserve"> </w:t>
      </w:r>
      <w:r>
        <w:t xml:space="preserve">could send nominal prices to extraordinary levels (perhaps multiples of current spot). However, such moves would likely be corrected by emergency interventions. See the scenario table below for illustrative outcomes.</w:t>
      </w:r>
    </w:p>
    <w:bookmarkEnd w:id="14"/>
    <w:bookmarkStart w:id="15" w:name="counterparty-and-systemic-risk"/>
    <w:p>
      <w:pPr>
        <w:pStyle w:val="Heading2"/>
      </w:pPr>
      <w:r>
        <w:t xml:space="preserve">Counterparty and Systemic Risk</w:t>
      </w:r>
    </w:p>
    <w:p>
      <w:pPr>
        <w:numPr>
          <w:ilvl w:val="0"/>
          <w:numId w:val="1006"/>
        </w:numPr>
      </w:pPr>
      <w:r>
        <w:rPr>
          <w:b/>
          <w:bCs/>
        </w:rPr>
        <w:t xml:space="preserve">Margin Calls and Defaults:</w:t>
      </w:r>
      <w:r>
        <w:t xml:space="preserve"> </w:t>
      </w:r>
      <w:r>
        <w:t xml:space="preserve">As silver prices spike, short positions incur large losses. Clearing members must meet variation margin immediately. Highly leveraged traders can be squeezed out or default. In 1980, major broker Bache had a $122 million shortfall on the Hunts【39†L216-L224】, requiring emergency financing. Modern CME clearing has higher initial margin and default resources, but a rapid price move (say +100% in days) could still strain participants.</w:t>
      </w:r>
    </w:p>
    <w:p>
      <w:pPr>
        <w:numPr>
          <w:ilvl w:val="0"/>
          <w:numId w:val="1006"/>
        </w:numPr>
      </w:pPr>
      <w:r>
        <w:rPr>
          <w:b/>
          <w:bCs/>
        </w:rPr>
        <w:t xml:space="preserve">Clearing House:</w:t>
      </w:r>
      <w:r>
        <w:t xml:space="preserve"> </w:t>
      </w:r>
      <w:r>
        <w:t xml:space="preserve">CME Clearing’s default waterfall is the last backstop【45†L62-L70】. It collects extra margins during delivery periods. If a member fails on a large delivery, CME covers the replacement cost【45†L145-L153】 and then uses its guaranty funds. In a worst-case, if replacement cost exceeds resources, CME could trigger default auctions or even be forced to suspend contract settlement. Non-default of the clearinghouse is paramount; historically, clearinghouses have absorbed defaults (e.g. Bache’s losses) but a true systemic failure remains a tail risk.</w:t>
      </w:r>
    </w:p>
    <w:p>
      <w:pPr>
        <w:numPr>
          <w:ilvl w:val="0"/>
          <w:numId w:val="1006"/>
        </w:numPr>
      </w:pPr>
      <w:r>
        <w:rPr>
          <w:b/>
          <w:bCs/>
        </w:rPr>
        <w:t xml:space="preserve">Banks and Brokers:</w:t>
      </w:r>
      <w:r>
        <w:t xml:space="preserve"> </w:t>
      </w:r>
      <w:r>
        <w:t xml:space="preserve">Bullion banks that carry client positions could face write-downs if clients can’t pay. Although silver futures losses are borne by clients, a cascade (multi-member defaults) could threaten even large banks. Interbank metal loans (silver leasing) could see margin calls on borrowed metal as rates spike. A run on unallocated accounts is possible: if too many claimants demand physical metal, banks may refuse withdrawals, undermining confidence.</w:t>
      </w:r>
    </w:p>
    <w:p>
      <w:pPr>
        <w:numPr>
          <w:ilvl w:val="0"/>
          <w:numId w:val="1006"/>
        </w:numPr>
      </w:pPr>
      <w:r>
        <w:rPr>
          <w:b/>
          <w:bCs/>
        </w:rPr>
        <w:t xml:space="preserve">Contagion:</w:t>
      </w:r>
      <w:r>
        <w:t xml:space="preserve"> </w:t>
      </w:r>
      <w:r>
        <w:t xml:space="preserve">If the silver market seized up, related markets (gold, platinum) might also see volatility. Industrial users (electronics, solar) might default on contracts or buy alternative materials. A chaotic period could resemble early March 2020 in futures markets, with flight-to-quality (dollar, bonds) and panic selling of illiquid assets. Regulators would watch for spillovers into banking/financial system (like JPMorgan’s 2022 silver derivatives losses).</w:t>
      </w:r>
    </w:p>
    <w:bookmarkEnd w:id="15"/>
    <w:bookmarkStart w:id="16" w:name="regulatory-and-legal-responses"/>
    <w:p>
      <w:pPr>
        <w:pStyle w:val="Heading2"/>
      </w:pPr>
      <w:r>
        <w:t xml:space="preserve">Regulatory and Legal Responses</w:t>
      </w:r>
    </w:p>
    <w:p>
      <w:pPr>
        <w:numPr>
          <w:ilvl w:val="0"/>
          <w:numId w:val="1007"/>
        </w:numPr>
      </w:pPr>
      <w:r>
        <w:rPr>
          <w:b/>
          <w:bCs/>
        </w:rPr>
        <w:t xml:space="preserve">Exchange Actions:</w:t>
      </w:r>
      <w:r>
        <w:t xml:space="preserve"> </w:t>
      </w:r>
      <w:r>
        <w:t xml:space="preserve">The COMEX (CME Group) could enact emergency provisions. Possible measures include: raising margin requirements drastically, imposing intraday trading halts or widening price bands, limiting new short sales (as in Jan 1980)【39†L187-L195】, or switching to “liquidation only” trading until the crisis abates. CME Rules allow force majeure declarations to suspend contracts or alter terms. The clearinghouse might designate “deliverable” metal differently or halt deliveries if the system is overwhelmed. For LBMA, though OTC, LBMA itself cannot directly intervene in trades, but the London Precious Metals Clearing Ltd. (LPMCL) might facilitate bespoke arrangements (for example, delaying settlement or netting off mutual obligations temporarily).</w:t>
      </w:r>
    </w:p>
    <w:p>
      <w:pPr>
        <w:numPr>
          <w:ilvl w:val="0"/>
          <w:numId w:val="1007"/>
        </w:numPr>
      </w:pPr>
      <w:r>
        <w:rPr>
          <w:b/>
          <w:bCs/>
        </w:rPr>
        <w:t xml:space="preserve">Regulatory Oversight:</w:t>
      </w:r>
      <w:r>
        <w:t xml:space="preserve"> </w:t>
      </w:r>
      <w:r>
        <w:t xml:space="preserve">The CFTC (US) and FCA/PRA (UK) would likely step in. Under Dodd-Frank, the CFTC can impose emergency position limits or require extra margin for commodity positions. Exchange for Physical (EFP) trades between LBMA banks and COMEX could be monitored or temporarily restricted. The SEC (as in 1980) might monitor brokerage firm solvency and potentially intervene in stock exchanges if broker equities collapse. In extreme cases, authorities might treat silver as a systemic commodity (analogous to oil/wheat) and impose export controls or strategic allocations.</w:t>
      </w:r>
    </w:p>
    <w:p>
      <w:pPr>
        <w:numPr>
          <w:ilvl w:val="0"/>
          <w:numId w:val="1007"/>
        </w:numPr>
      </w:pPr>
      <w:r>
        <w:rPr>
          <w:b/>
          <w:bCs/>
        </w:rPr>
        <w:t xml:space="preserve">Legal:</w:t>
      </w:r>
      <w:r>
        <w:t xml:space="preserve"> </w:t>
      </w:r>
      <w:r>
        <w:t xml:space="preserve">Failure-to-deliver might trigger litigation. Clients holding warrants could sue banks for breach if metal isn’t delivered. Governments could investigate manipulation or insider trading if illicit corners are suspected. After the 1980 crisis, the CFTC brought market manipulation charges on the Hunts. Similar scrutiny could follow any identifiable attempt to corner the market.</w:t>
      </w:r>
    </w:p>
    <w:bookmarkEnd w:id="16"/>
    <w:bookmarkStart w:id="17" w:name="logistical-constraints"/>
    <w:p>
      <w:pPr>
        <w:pStyle w:val="Heading2"/>
      </w:pPr>
      <w:r>
        <w:t xml:space="preserve">Logistical Constraints</w:t>
      </w:r>
    </w:p>
    <w:p>
      <w:pPr>
        <w:numPr>
          <w:ilvl w:val="0"/>
          <w:numId w:val="1008"/>
        </w:numPr>
      </w:pPr>
      <w:r>
        <w:rPr>
          <w:b/>
          <w:bCs/>
        </w:rPr>
        <w:t xml:space="preserve">Transport:</w:t>
      </w:r>
      <w:r>
        <w:t xml:space="preserve"> </w:t>
      </w:r>
      <w:r>
        <w:t xml:space="preserve">Moving thousands of tonnes of silver internationally is slow and costly. A typical armored-air shipment might carry a few tonnes; full exhaustion of one vault would require dozens of shipments over weeks. Long lead times (loading, customs) mean that even urgent shipments could take</w:t>
      </w:r>
      <w:r>
        <w:t xml:space="preserve"> </w:t>
      </w:r>
      <w:r>
        <w:rPr>
          <w:i/>
          <w:iCs/>
        </w:rPr>
        <w:t xml:space="preserve">days</w:t>
      </w:r>
      <w:r>
        <w:t xml:space="preserve">. If inventories are near zero, simply sourcing and shipping new metal (from mines, mints or other vaults) could lag well behind demand.</w:t>
      </w:r>
    </w:p>
    <w:p>
      <w:pPr>
        <w:numPr>
          <w:ilvl w:val="0"/>
          <w:numId w:val="1008"/>
        </w:numPr>
      </w:pPr>
      <w:r>
        <w:rPr>
          <w:b/>
          <w:bCs/>
        </w:rPr>
        <w:t xml:space="preserve">Vault Capacity:</w:t>
      </w:r>
      <w:r>
        <w:t xml:space="preserve"> </w:t>
      </w:r>
      <w:r>
        <w:t xml:space="preserve">Major vaults in London, NYC and elsewhere have finite space. A sudden surge of metal (e.g. to replenish stock) could strain capacity. Conversely, if everyone demands withdrawals, vaults may impose limits (as some do for coins) or refuse non-urgent moves. Insurance and security costs would spike for any large movement in a crisis.</w:t>
      </w:r>
    </w:p>
    <w:p>
      <w:pPr>
        <w:numPr>
          <w:ilvl w:val="0"/>
          <w:numId w:val="1008"/>
        </w:numPr>
      </w:pPr>
      <w:r>
        <w:rPr>
          <w:b/>
          <w:bCs/>
        </w:rPr>
        <w:t xml:space="preserve">Insurance/Risk:</w:t>
      </w:r>
      <w:r>
        <w:t xml:space="preserve"> </w:t>
      </w:r>
      <w:r>
        <w:t xml:space="preserve">Premiums for insuring shipments and in-transit metal would rise. Vault operators might increase storage charges (already a practical burden). In a panic, some banks might even consider using central bank facilities or national stockpiles (though silver is rarely held as official reserve).</w:t>
      </w:r>
    </w:p>
    <w:p>
      <w:pPr>
        <w:numPr>
          <w:ilvl w:val="0"/>
          <w:numId w:val="1008"/>
        </w:numPr>
      </w:pPr>
      <w:r>
        <w:rPr>
          <w:b/>
          <w:bCs/>
        </w:rPr>
        <w:t xml:space="preserve">Geopolitical/Weather:</w:t>
      </w:r>
      <w:r>
        <w:t xml:space="preserve"> </w:t>
      </w:r>
      <w:r>
        <w:t xml:space="preserve">Disruptions in shipping lanes (e.g. if a crisis coincides with war or bad weather) could further delay transports. All these factors mean that even if paper contracts could be cash-settled, getting new metal on demand is not instantaneous.</w:t>
      </w:r>
    </w:p>
    <w:bookmarkEnd w:id="17"/>
    <w:bookmarkStart w:id="18" w:name="substitution-effects"/>
    <w:p>
      <w:pPr>
        <w:pStyle w:val="Heading2"/>
      </w:pPr>
      <w:r>
        <w:t xml:space="preserve">Substitution Effects</w:t>
      </w:r>
    </w:p>
    <w:p>
      <w:pPr>
        <w:numPr>
          <w:ilvl w:val="0"/>
          <w:numId w:val="1009"/>
        </w:numPr>
      </w:pPr>
      <w:r>
        <w:rPr>
          <w:b/>
          <w:bCs/>
        </w:rPr>
        <w:t xml:space="preserve">Paper vs. Physical:</w:t>
      </w:r>
      <w:r>
        <w:t xml:space="preserve"> </w:t>
      </w:r>
      <w:r>
        <w:t xml:space="preserve">A key aspect of modern markets is that much silver is traded as</w:t>
      </w:r>
      <w:r>
        <w:t xml:space="preserve"> </w:t>
      </w:r>
      <w:r>
        <w:rPr>
          <w:b/>
          <w:bCs/>
        </w:rPr>
        <w:t xml:space="preserve">paper claims</w:t>
      </w:r>
      <w:r>
        <w:t xml:space="preserve"> </w:t>
      </w:r>
      <w:r>
        <w:t xml:space="preserve">(futures, forwards, ETFs) far exceeding physical supply. In a shortage, holders of paper claims (especially shorts) may be forced to take delivery or buy back futures, leading to a stampede into physical. Conversely, long-only holders (e.g. ETF investors) might be unwilling or unable to redeem shares if metal isn’t available, leading to “locked” ETF positions.</w:t>
      </w:r>
    </w:p>
    <w:p>
      <w:pPr>
        <w:numPr>
          <w:ilvl w:val="0"/>
          <w:numId w:val="1009"/>
        </w:numPr>
      </w:pPr>
      <w:r>
        <w:rPr>
          <w:b/>
          <w:bCs/>
        </w:rPr>
        <w:t xml:space="preserve">ETFs and Funds:</w:t>
      </w:r>
      <w:r>
        <w:t xml:space="preserve"> </w:t>
      </w:r>
      <w:r>
        <w:t xml:space="preserve">Silver ETFs (e.g. SLV, SIVR) currently hold large inventories in vaults. If physical silver tightens, these funds could face redemption pressure. In 2021 SLV added language warning that redemptions may outpace deliverable metal【56†L360-L366】. Funds might resort to secondary markets to satisfy redemptions or even suspend creations/redemptions in extreme cases.</w:t>
      </w:r>
    </w:p>
    <w:p>
      <w:pPr>
        <w:numPr>
          <w:ilvl w:val="0"/>
          <w:numId w:val="1009"/>
        </w:numPr>
      </w:pPr>
      <w:r>
        <w:rPr>
          <w:b/>
          <w:bCs/>
        </w:rPr>
        <w:t xml:space="preserve">Leasing and Loans:</w:t>
      </w:r>
      <w:r>
        <w:t xml:space="preserve"> </w:t>
      </w:r>
      <w:r>
        <w:t xml:space="preserve">Silver leasing (loans of metal between institutions) might become expensive or collapse. Normally bullion banks lend metal at low interest to facilitate lending; in a crunch lease rates (implied “silver interest rate”) would soar, similar to how gold lease rates spiked in 2019–20. Some institutions could borrow metal to cover contracts, but lending availability would shrink.</w:t>
      </w:r>
    </w:p>
    <w:p>
      <w:pPr>
        <w:numPr>
          <w:ilvl w:val="0"/>
          <w:numId w:val="1009"/>
        </w:numPr>
      </w:pPr>
      <w:r>
        <w:rPr>
          <w:b/>
          <w:bCs/>
        </w:rPr>
        <w:t xml:space="preserve">Substitutes:</w:t>
      </w:r>
      <w:r>
        <w:t xml:space="preserve"> </w:t>
      </w:r>
      <w:r>
        <w:t xml:space="preserve">Industrial users might seek alternatives (e.g. copper-based sensors, gold in place of silver if possible) to buy time. Investors might switch to other safe havens (gold, treasury bonds). However, silver’s unique industrial and investment roles mean many demands cannot be easily substituted quickly.</w:t>
      </w:r>
    </w:p>
    <w:bookmarkEnd w:id="18"/>
    <w:bookmarkStart w:id="19" w:name="policy-options"/>
    <w:p>
      <w:pPr>
        <w:pStyle w:val="Heading2"/>
      </w:pPr>
      <w:r>
        <w:t xml:space="preserve">Policy Options</w:t>
      </w:r>
    </w:p>
    <w:p>
      <w:pPr>
        <w:numPr>
          <w:ilvl w:val="0"/>
          <w:numId w:val="1010"/>
        </w:numPr>
      </w:pPr>
      <w:r>
        <w:rPr>
          <w:b/>
          <w:bCs/>
        </w:rPr>
        <w:t xml:space="preserve">Rationing:</w:t>
      </w:r>
      <w:r>
        <w:t xml:space="preserve"> </w:t>
      </w:r>
      <w:r>
        <w:t xml:space="preserve">Governments could</w:t>
      </w:r>
      <w:r>
        <w:t xml:space="preserve"> </w:t>
      </w:r>
      <w:r>
        <w:rPr>
          <w:b/>
          <w:bCs/>
        </w:rPr>
        <w:t xml:space="preserve">ration use</w:t>
      </w:r>
      <w:r>
        <w:t xml:space="preserve"> </w:t>
      </w:r>
      <w:r>
        <w:t xml:space="preserve">of silver in strategic industries. For example, they might mandate that certain industries (medical equipment, defense) get priority. During WWII, the U.S. rationed metals. In extreme shortage, U.S. or EU could restrict silver exports to conserve domestic supply. Conversely, they could import expedite by waiving tariffs (the 2025 example showed pre-emptive imports when tariffs loomed【51†L168-L177】).</w:t>
      </w:r>
    </w:p>
    <w:p>
      <w:pPr>
        <w:numPr>
          <w:ilvl w:val="0"/>
          <w:numId w:val="1010"/>
        </w:numPr>
      </w:pPr>
      <w:r>
        <w:rPr>
          <w:b/>
          <w:bCs/>
        </w:rPr>
        <w:t xml:space="preserve">Strategic Reserves:</w:t>
      </w:r>
      <w:r>
        <w:t xml:space="preserve"> </w:t>
      </w:r>
      <w:r>
        <w:t xml:space="preserve">Silver has no formal strategic stockpile (unlike oil). Policymakers might consider creating a reserve for future crises. For now, private holdings (ETF inventory, sovereign bullion) are the effective “strategic” stock. Any plan for a stockpile would be new policy territory (as discussed hypothetically by some analysts).</w:t>
      </w:r>
    </w:p>
    <w:p>
      <w:pPr>
        <w:numPr>
          <w:ilvl w:val="0"/>
          <w:numId w:val="1010"/>
        </w:numPr>
      </w:pPr>
      <w:r>
        <w:rPr>
          <w:b/>
          <w:bCs/>
        </w:rPr>
        <w:t xml:space="preserve">Regulatory Relief:</w:t>
      </w:r>
      <w:r>
        <w:t xml:space="preserve"> </w:t>
      </w:r>
      <w:r>
        <w:t xml:space="preserve">In crisis, regulators might temporarily</w:t>
      </w:r>
      <w:r>
        <w:t xml:space="preserve"> </w:t>
      </w:r>
      <w:r>
        <w:rPr>
          <w:b/>
          <w:bCs/>
        </w:rPr>
        <w:t xml:space="preserve">ease position limits or margin rules</w:t>
      </w:r>
      <w:r>
        <w:t xml:space="preserve"> </w:t>
      </w:r>
      <w:r>
        <w:t xml:space="preserve">to ensure markets function (for example, allowing rollbacks or spreads). They might also freeze certain trades to prevent manipulation. In 1980, regulators did</w:t>
      </w:r>
      <w:r>
        <w:t xml:space="preserve"> </w:t>
      </w:r>
      <w:r>
        <w:rPr>
          <w:b/>
          <w:bCs/>
        </w:rPr>
        <w:t xml:space="preserve">not</w:t>
      </w:r>
      <w:r>
        <w:t xml:space="preserve"> </w:t>
      </w:r>
      <w:r>
        <w:t xml:space="preserve">bail out the Hunts; instead they forced normal market functioning (limits, liquidations)【39†L187-L195】. A similar approach would likely be taken: avoid direct market support, but ensure orderly settlement.</w:t>
      </w:r>
    </w:p>
    <w:p>
      <w:pPr>
        <w:numPr>
          <w:ilvl w:val="0"/>
          <w:numId w:val="1010"/>
        </w:numPr>
      </w:pPr>
      <w:r>
        <w:rPr>
          <w:b/>
          <w:bCs/>
        </w:rPr>
        <w:t xml:space="preserve">Import/Export Controls:</w:t>
      </w:r>
      <w:r>
        <w:t xml:space="preserve"> </w:t>
      </w:r>
      <w:r>
        <w:t xml:space="preserve">Just as with strategic materials, countries could ban silver exports or subsidize imports. A country like India (a big silver consumer for jewelry) might tighten import controls to secure domestic supply. Coordination among major holders (U.S., EU, China) would affect global flows.</w:t>
      </w:r>
    </w:p>
    <w:bookmarkEnd w:id="19"/>
    <w:bookmarkStart w:id="20" w:name="scenario-comparison"/>
    <w:p>
      <w:pPr>
        <w:pStyle w:val="Heading2"/>
      </w:pPr>
      <w:r>
        <w:t xml:space="preserve">Scenario Comparison</w:t>
      </w:r>
    </w:p>
    <w:p>
      <w:pPr>
        <w:pStyle w:val="FirstParagraph"/>
      </w:pPr>
      <w:r>
        <w:t xml:space="preserve">The table below sketches three illustrative shortage scenarios and their likely market outcomes: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Outcome/Metric</w:t>
            </w:r>
          </w:p>
        </w:tc>
        <w:tc>
          <w:tcPr/>
          <w:p>
            <w:pPr>
              <w:pStyle w:val="Compact"/>
            </w:pPr>
            <w:r>
              <w:rPr>
                <w:b/>
                <w:bCs/>
              </w:rPr>
              <w:t xml:space="preserve">Mild Shortage</w:t>
            </w:r>
            <w:r>
              <w:t xml:space="preserve"> </w:t>
            </w:r>
            <w:r>
              <w:t xml:space="preserve">(e.g. 10% supply drop)</w:t>
            </w:r>
          </w:p>
        </w:tc>
        <w:tc>
          <w:tcPr/>
          <w:p>
            <w:pPr>
              <w:pStyle w:val="Compact"/>
            </w:pPr>
            <w:r>
              <w:rPr>
                <w:b/>
                <w:bCs/>
              </w:rPr>
              <w:t xml:space="preserve">Severe Shortage</w:t>
            </w:r>
            <w:r>
              <w:t xml:space="preserve"> </w:t>
            </w:r>
            <w:r>
              <w:t xml:space="preserve">(50% drop)</w:t>
            </w:r>
          </w:p>
        </w:tc>
        <w:tc>
          <w:tcPr/>
          <w:p>
            <w:pPr>
              <w:pStyle w:val="Compact"/>
            </w:pPr>
            <w:r>
              <w:rPr>
                <w:b/>
                <w:bCs/>
              </w:rPr>
              <w:t xml:space="preserve">Complete Depletion</w:t>
            </w:r>
            <w:r>
              <w:t xml:space="preserve"> </w:t>
            </w:r>
            <w:r>
              <w:t xml:space="preserve">(0% supply)</w:t>
            </w:r>
          </w:p>
        </w:tc>
      </w:tr>
      <w:tr>
        <w:tc>
          <w:tcPr/>
          <w:p>
            <w:pPr>
              <w:pStyle w:val="Compact"/>
            </w:pPr>
            <w:r>
              <w:rPr>
                <w:b/>
                <w:bCs/>
              </w:rPr>
              <w:t xml:space="preserve">Price Reaction (spot)</w:t>
            </w:r>
          </w:p>
        </w:tc>
        <w:tc>
          <w:tcPr/>
          <w:p>
            <w:pPr>
              <w:pStyle w:val="Compact"/>
            </w:pPr>
            <w:r>
              <w:t xml:space="preserve">+10–30% rally, elevated volatility; futures may flatten.</w:t>
            </w:r>
          </w:p>
        </w:tc>
        <w:tc>
          <w:tcPr/>
          <w:p>
            <w:pPr>
              <w:pStyle w:val="Compact"/>
            </w:pPr>
            <w:r>
              <w:t xml:space="preserve">+100–200% surge; explosive volatility.</w:t>
            </w:r>
          </w:p>
        </w:tc>
        <w:tc>
          <w:tcPr/>
          <w:p>
            <w:pPr>
              <w:pStyle w:val="Compact"/>
            </w:pPr>
            <w:r>
              <w:t xml:space="preserve">Wild run-up (multi-$100s/oz); extreme volatility.</w:t>
            </w:r>
          </w:p>
        </w:tc>
      </w:tr>
      <w:tr>
        <w:tc>
          <w:tcPr/>
          <w:p>
            <w:pPr>
              <w:pStyle w:val="Compact"/>
            </w:pPr>
            <w:r>
              <w:rPr>
                <w:b/>
                <w:bCs/>
              </w:rPr>
              <w:t xml:space="preserve">Forward Curve (structure)</w:t>
            </w:r>
          </w:p>
        </w:tc>
        <w:tc>
          <w:tcPr/>
          <w:p>
            <w:pPr>
              <w:pStyle w:val="Compact"/>
            </w:pPr>
            <w:r>
              <w:t xml:space="preserve">Slight backwardation (near-term &gt; deferred).</w:t>
            </w:r>
          </w:p>
        </w:tc>
        <w:tc>
          <w:tcPr/>
          <w:p>
            <w:pPr>
              <w:pStyle w:val="Compact"/>
            </w:pPr>
            <w:r>
              <w:t xml:space="preserve">Marked backwardation.</w:t>
            </w:r>
          </w:p>
        </w:tc>
        <w:tc>
          <w:tcPr/>
          <w:p>
            <w:pPr>
              <w:pStyle w:val="Compact"/>
            </w:pPr>
            <w:r>
              <w:t xml:space="preserve">Extreme backwardation or suspension of forward prices.</w:t>
            </w:r>
          </w:p>
        </w:tc>
      </w:tr>
      <w:tr>
        <w:tc>
          <w:tcPr/>
          <w:p>
            <w:pPr>
              <w:pStyle w:val="Compact"/>
            </w:pPr>
            <w:r>
              <w:rPr>
                <w:b/>
                <w:bCs/>
              </w:rPr>
              <w:t xml:space="preserve">Inventory Days-of-Supply</w:t>
            </w:r>
          </w:p>
        </w:tc>
        <w:tc>
          <w:tcPr/>
          <w:p>
            <w:pPr>
              <w:pStyle w:val="Compact"/>
            </w:pPr>
            <w:r>
              <w:t xml:space="preserve">Falls from ~1 year to ~0.9; COMEX cover from ~44 to ~30 days.</w:t>
            </w:r>
          </w:p>
        </w:tc>
        <w:tc>
          <w:tcPr/>
          <w:p>
            <w:pPr>
              <w:pStyle w:val="Compact"/>
            </w:pPr>
            <w:r>
              <w:t xml:space="preserve">~0.5 year supply at London level; COMEX reg nearly exhausted.</w:t>
            </w:r>
          </w:p>
        </w:tc>
        <w:tc>
          <w:tcPr/>
          <w:p>
            <w:pPr>
              <w:pStyle w:val="Compact"/>
            </w:pPr>
            <w:r>
              <w:t xml:space="preserve">Near zero on both LBMA &amp; COMEX (all deliverable metal gone).</w:t>
            </w:r>
          </w:p>
        </w:tc>
      </w:tr>
      <w:tr>
        <w:tc>
          <w:tcPr/>
          <w:p>
            <w:pPr>
              <w:pStyle w:val="Compact"/>
            </w:pPr>
            <w:r>
              <w:rPr>
                <w:b/>
                <w:bCs/>
              </w:rPr>
              <w:t xml:space="preserve">Delivery Failures</w:t>
            </w:r>
          </w:p>
        </w:tc>
        <w:tc>
          <w:tcPr/>
          <w:p>
            <w:pPr>
              <w:pStyle w:val="Compact"/>
            </w:pPr>
            <w:r>
              <w:t xml:space="preserve">Few to moderate defaults; most longs roll.</w:t>
            </w:r>
          </w:p>
        </w:tc>
        <w:tc>
          <w:tcPr/>
          <w:p>
            <w:pPr>
              <w:pStyle w:val="Compact"/>
            </w:pPr>
            <w:r>
              <w:t xml:space="preserve">Many shorts can’t deliver; forced cash settlements.</w:t>
            </w:r>
          </w:p>
        </w:tc>
        <w:tc>
          <w:tcPr/>
          <w:p>
            <w:pPr>
              <w:pStyle w:val="Compact"/>
            </w:pPr>
            <w:r>
              <w:t xml:space="preserve">Systemic failures; possible trading halt/cash settlement.</w:t>
            </w:r>
          </w:p>
        </w:tc>
      </w:tr>
      <w:tr>
        <w:tc>
          <w:tcPr/>
          <w:p>
            <w:pPr>
              <w:pStyle w:val="Compact"/>
            </w:pPr>
            <w:r>
              <w:rPr>
                <w:b/>
                <w:bCs/>
              </w:rPr>
              <w:t xml:space="preserve">Open Interest Impact</w:t>
            </w:r>
          </w:p>
        </w:tc>
        <w:tc>
          <w:tcPr/>
          <w:p>
            <w:pPr>
              <w:pStyle w:val="Compact"/>
            </w:pPr>
            <w:r>
              <w:t xml:space="preserve">Some roll-over to futures expiries; OI steady.</w:t>
            </w:r>
          </w:p>
        </w:tc>
        <w:tc>
          <w:tcPr/>
          <w:p>
            <w:pPr>
              <w:pStyle w:val="Compact"/>
            </w:pPr>
            <w:r>
              <w:t xml:space="preserve">OI falls as shorts liquidate or default; long positions concentrated.</w:t>
            </w:r>
          </w:p>
        </w:tc>
        <w:tc>
          <w:tcPr/>
          <w:p>
            <w:pPr>
              <w:pStyle w:val="Compact"/>
            </w:pPr>
            <w:r>
              <w:t xml:space="preserve">OI collapse; market freeze unless off-exchange deals.</w:t>
            </w:r>
          </w:p>
        </w:tc>
      </w:tr>
      <w:tr>
        <w:tc>
          <w:tcPr/>
          <w:p>
            <w:pPr>
              <w:pStyle w:val="Compact"/>
            </w:pPr>
            <w:r>
              <w:rPr>
                <w:b/>
                <w:bCs/>
              </w:rPr>
              <w:t xml:space="preserve">Margin Calls</w:t>
            </w:r>
          </w:p>
        </w:tc>
        <w:tc>
          <w:tcPr/>
          <w:p>
            <w:pPr>
              <w:pStyle w:val="Compact"/>
            </w:pPr>
            <w:r>
              <w:t xml:space="preserve">Spikes on shorts; some small defaults.</w:t>
            </w:r>
          </w:p>
        </w:tc>
        <w:tc>
          <w:tcPr/>
          <w:p>
            <w:pPr>
              <w:pStyle w:val="Compact"/>
            </w:pPr>
            <w:r>
              <w:t xml:space="preserve">Massive calls, cascade defaults possible.</w:t>
            </w:r>
          </w:p>
        </w:tc>
        <w:tc>
          <w:tcPr/>
          <w:p>
            <w:pPr>
              <w:pStyle w:val="Compact"/>
            </w:pPr>
            <w:r>
              <w:t xml:space="preserve">Margin exhaustion; clearinghouse covers deficits (≤ replacement cost)【45†L145-L153】.</w:t>
            </w:r>
          </w:p>
        </w:tc>
      </w:tr>
      <w:tr>
        <w:tc>
          <w:tcPr/>
          <w:p>
            <w:pPr>
              <w:pStyle w:val="Compact"/>
            </w:pPr>
            <w:r>
              <w:rPr>
                <w:b/>
                <w:bCs/>
              </w:rPr>
              <w:t xml:space="preserve">Regulatory Response</w:t>
            </w:r>
          </w:p>
        </w:tc>
        <w:tc>
          <w:tcPr/>
          <w:p>
            <w:pPr>
              <w:pStyle w:val="Compact"/>
            </w:pPr>
            <w:r>
              <w:t xml:space="preserve">Monitor closely; possibly raise position limits or margin.</w:t>
            </w:r>
          </w:p>
        </w:tc>
        <w:tc>
          <w:tcPr/>
          <w:p>
            <w:pPr>
              <w:pStyle w:val="Compact"/>
            </w:pPr>
            <w:r>
              <w:t xml:space="preserve">Emergency meetings; impose trade limits/liquidation-only.</w:t>
            </w:r>
          </w:p>
        </w:tc>
        <w:tc>
          <w:tcPr/>
          <w:p>
            <w:pPr>
              <w:pStyle w:val="Compact"/>
            </w:pPr>
            <w:r>
              <w:t xml:space="preserve">Likely trading suspension or fixed-price settlement.</w:t>
            </w:r>
          </w:p>
        </w:tc>
      </w:tr>
      <w:tr>
        <w:tc>
          <w:tcPr/>
          <w:p>
            <w:pPr>
              <w:pStyle w:val="Compact"/>
            </w:pPr>
            <w:r>
              <w:rPr>
                <w:b/>
                <w:bCs/>
              </w:rPr>
              <w:t xml:space="preserve">Duration of Impact</w:t>
            </w:r>
          </w:p>
        </w:tc>
        <w:tc>
          <w:tcPr/>
          <w:p>
            <w:pPr>
              <w:pStyle w:val="Compact"/>
            </w:pPr>
            <w:r>
              <w:t xml:space="preserve">Days–weeks of stress, then easing.</w:t>
            </w:r>
          </w:p>
        </w:tc>
        <w:tc>
          <w:tcPr/>
          <w:p>
            <w:pPr>
              <w:pStyle w:val="Compact"/>
            </w:pPr>
            <w:r>
              <w:t xml:space="preserve">Weeks to months; may require policy interventions.</w:t>
            </w:r>
          </w:p>
        </w:tc>
        <w:tc>
          <w:tcPr/>
          <w:p>
            <w:pPr>
              <w:pStyle w:val="Compact"/>
            </w:pPr>
            <w:r>
              <w:t xml:space="preserve">Long-term crisis until replenishment or policy fix.</w:t>
            </w:r>
          </w:p>
        </w:tc>
      </w:tr>
      <w:tr>
        <w:tc>
          <w:tcPr/>
          <w:p>
            <w:pPr>
              <w:pStyle w:val="Compact"/>
            </w:pPr>
            <w:r>
              <w:rPr>
                <w:b/>
                <w:bCs/>
              </w:rPr>
              <w:t xml:space="preserve">Systemic Risk</w:t>
            </w:r>
          </w:p>
        </w:tc>
        <w:tc>
          <w:tcPr/>
          <w:p>
            <w:pPr>
              <w:pStyle w:val="Compact"/>
            </w:pPr>
            <w:r>
              <w:t xml:space="preserve">Moderate – contained to COMEX/metals participants.</w:t>
            </w:r>
          </w:p>
        </w:tc>
        <w:tc>
          <w:tcPr/>
          <w:p>
            <w:pPr>
              <w:pStyle w:val="Compact"/>
            </w:pPr>
            <w:r>
              <w:t xml:space="preserve">High – broker/dealer losses, banking strain.</w:t>
            </w:r>
          </w:p>
        </w:tc>
        <w:tc>
          <w:tcPr/>
          <w:p>
            <w:pPr>
              <w:pStyle w:val="Compact"/>
            </w:pPr>
            <w:r>
              <w:t xml:space="preserve">Very high – financial markets destabilized; possible financial crisis.</w:t>
            </w:r>
          </w:p>
        </w:tc>
      </w:tr>
    </w:tbl>
    <w:p>
      <w:pPr>
        <w:pStyle w:val="BodyText"/>
      </w:pPr>
      <w:r>
        <w:rPr>
          <w:i/>
          <w:iCs/>
        </w:rPr>
        <w:t xml:space="preserve">(This table is illustrative; actual outcomes depend on many factors including policy actions.)</w:t>
      </w:r>
    </w:p>
    <w:bookmarkEnd w:id="20"/>
    <w:bookmarkStart w:id="21" w:name="recommended-actions-and-communication"/>
    <w:p>
      <w:pPr>
        <w:pStyle w:val="Heading2"/>
      </w:pPr>
      <w:r>
        <w:t xml:space="preserve">Recommended Actions and Communication</w:t>
      </w:r>
    </w:p>
    <w:p>
      <w:pPr>
        <w:numPr>
          <w:ilvl w:val="0"/>
          <w:numId w:val="1011"/>
        </w:numPr>
      </w:pPr>
      <w:r>
        <w:rPr>
          <w:b/>
          <w:bCs/>
        </w:rPr>
        <w:t xml:space="preserve">Traders:</w:t>
      </w:r>
      <w:r>
        <w:t xml:space="preserve"> </w:t>
      </w:r>
      <w:r>
        <w:rPr>
          <w:i/>
          <w:iCs/>
        </w:rPr>
        <w:t xml:space="preserve">Short positions</w:t>
      </w:r>
      <w:r>
        <w:t xml:space="preserve"> </w:t>
      </w:r>
      <w:r>
        <w:t xml:space="preserve">should be hedged or closed well in advance of looming shortages to avoid forced delivery.</w:t>
      </w:r>
      <w:r>
        <w:t xml:space="preserve"> </w:t>
      </w:r>
      <w:r>
        <w:rPr>
          <w:i/>
          <w:iCs/>
        </w:rPr>
        <w:t xml:space="preserve">Longs</w:t>
      </w:r>
      <w:r>
        <w:t xml:space="preserve"> </w:t>
      </w:r>
      <w:r>
        <w:t xml:space="preserve">may seek physical coverage (via ETFs or bullions) to avoid dependence on exchange delivery. All market participants should maintain ample margin/collateral, and consider reducing leverage. Derivative traders might use options for insurance. We also recommend monitoring inventory reports (LBMA monthly, CME daily) and any signals of delivery stress (rise in backwardation, lease rates).</w:t>
      </w:r>
    </w:p>
    <w:p>
      <w:pPr>
        <w:numPr>
          <w:ilvl w:val="0"/>
          <w:numId w:val="1011"/>
        </w:numPr>
      </w:pPr>
      <w:r>
        <w:rPr>
          <w:b/>
          <w:bCs/>
        </w:rPr>
        <w:t xml:space="preserve">Custodians (Vaults/Banks):</w:t>
      </w:r>
      <w:r>
        <w:t xml:space="preserve"> </w:t>
      </w:r>
      <w:r>
        <w:t xml:space="preserve">Audit actual inventories and ensure security. Communicate clearly with clients about metal availability and lead times. In a shortage, expedite legitimate withdrawal requests for critical users (while preventing panic). Custodians should coordinate with each other (via industry channels) to manage flows. All transport and insurance logistics must be prepared for priority shipments.</w:t>
      </w:r>
    </w:p>
    <w:p>
      <w:pPr>
        <w:numPr>
          <w:ilvl w:val="0"/>
          <w:numId w:val="1011"/>
        </w:numPr>
      </w:pPr>
      <w:r>
        <w:rPr>
          <w:b/>
          <w:bCs/>
        </w:rPr>
        <w:t xml:space="preserve">Regulators/Exchanges:</w:t>
      </w:r>
      <w:r>
        <w:t xml:space="preserve"> </w:t>
      </w:r>
      <w:r>
        <w:t xml:space="preserve">Prepare to use emergency rulebook provisions. Stockpile relevant data (large trader reports, OTC positions). Engage clearing members now to test the robustness of default procedures. Consider simulated “war games” for delivery stress. In communications, regulators should emphasize that the markets are working as designed (citing [61†L111-L114], [45†L145-L153]) and discourage false rumors. Clear guidance (e.g. on position limits, margin policy) should be announced promptly to maintain market confidence.</w:t>
      </w:r>
    </w:p>
    <w:p>
      <w:pPr>
        <w:numPr>
          <w:ilvl w:val="0"/>
          <w:numId w:val="1011"/>
        </w:numPr>
      </w:pPr>
      <w:r>
        <w:rPr>
          <w:b/>
          <w:bCs/>
        </w:rPr>
        <w:t xml:space="preserve">Communications/PR:</w:t>
      </w:r>
      <w:r>
        <w:t xml:space="preserve"> </w:t>
      </w:r>
      <w:r>
        <w:t xml:space="preserve">A shortage narrative could alarm retail investors (“silver squeeze”) and industrial consumers. It will be critical to distinguish</w:t>
      </w:r>
      <w:r>
        <w:t xml:space="preserve"> </w:t>
      </w:r>
      <w:r>
        <w:rPr>
          <w:i/>
          <w:iCs/>
        </w:rPr>
        <w:t xml:space="preserve">delivery shortage</w:t>
      </w:r>
      <w:r>
        <w:t xml:space="preserve"> </w:t>
      </w:r>
      <w:r>
        <w:t xml:space="preserve">(paper vs. metal) in public messaging. Exchanges and authorities should clarify what “deliveries” mean (using, for example, the CME’s explanation that warrants, not trucks, move【61†L111-L114】). Misleading social media claims (e.g. “COMEX will default!”) should be countered with facts. Information campaigns might stress the difference between</w:t>
      </w:r>
      <w:r>
        <w:t xml:space="preserve"> </w:t>
      </w:r>
      <w:r>
        <w:rPr>
          <w:i/>
          <w:iCs/>
        </w:rPr>
        <w:t xml:space="preserve">paper delivery failures</w:t>
      </w:r>
      <w:r>
        <w:t xml:space="preserve"> </w:t>
      </w:r>
      <w:r>
        <w:t xml:space="preserve">(remediable by cash settlement) and physical scarcity, to prevent a self-fulfilling panic.</w:t>
      </w:r>
    </w:p>
    <w:p>
      <w:pPr>
        <w:pStyle w:val="FirstParagraph"/>
      </w:pPr>
      <w:r>
        <w:rPr>
          <w:b/>
          <w:bCs/>
        </w:rPr>
        <w:t xml:space="preserve">Charts and Timeline:</w:t>
      </w:r>
      <w:r>
        <w:t xml:space="preserve"> </w:t>
      </w:r>
      <w:r>
        <w:t xml:space="preserve">See below for a schematic timeline of events and a conceptual price-vs-inventory curve under stress.</w:t>
      </w:r>
    </w:p>
    <w:p>
      <w:pPr>
        <w:pStyle w:val="SourceCode"/>
      </w:pPr>
      <w:r>
        <w:rPr>
          <w:rStyle w:val="VerbatimChar"/>
        </w:rPr>
        <w:t xml:space="preserve">flowchart LR</w:t>
      </w:r>
      <w:r>
        <w:br/>
      </w:r>
      <w:r>
        <w:rPr>
          <w:rStyle w:val="VerbatimChar"/>
        </w:rPr>
        <w:t xml:space="preserve">    A([T0] Inventory reports show critically low physical stocks) --&gt; B([+ Hours] Rumors trigger buying; margin calls start)</w:t>
      </w:r>
      <w:r>
        <w:br/>
      </w:r>
      <w:r>
        <w:rPr>
          <w:rStyle w:val="VerbatimChar"/>
        </w:rPr>
        <w:t xml:space="preserve">    B --&gt; C([Day+1] Price spikes; short squeezes intensify; some contracts roll)</w:t>
      </w:r>
      <w:r>
        <w:br/>
      </w:r>
      <w:r>
        <w:rPr>
          <w:rStyle w:val="VerbatimChar"/>
        </w:rPr>
        <w:t xml:space="preserve">    C --&gt; D([Day+2-3] First Notice Day for nearest futures; many open short deliveries]</w:t>
      </w:r>
      <w:r>
        <w:br/>
      </w:r>
      <w:r>
        <w:rPr>
          <w:rStyle w:val="VerbatimChar"/>
        </w:rPr>
        <w:t xml:space="preserve">    D --&gt; E([Days+3-5] Registered stocks fall toward zero; deliveries struggle)</w:t>
      </w:r>
      <w:r>
        <w:br/>
      </w:r>
      <w:r>
        <w:rPr>
          <w:rStyle w:val="VerbatimChar"/>
        </w:rPr>
        <w:t xml:space="preserve">    E --&gt; F([Week 1] Exchange convenes emergency meetings; trade curbs/margin hikes)</w:t>
      </w:r>
      <w:r>
        <w:br/>
      </w:r>
      <w:r>
        <w:rPr>
          <w:rStyle w:val="VerbatimChar"/>
        </w:rPr>
        <w:t xml:space="preserve">    F --&gt; G([Weeks 1-2] Clearinghouse processes defaults; forced cash settlements)</w:t>
      </w:r>
      <w:r>
        <w:br/>
      </w:r>
      <w:r>
        <w:rPr>
          <w:rStyle w:val="VerbatimChar"/>
        </w:rPr>
        <w:t xml:space="preserve">    G --&gt; H([Weeks 2+] Regulatory measures (limits, rationing, etc.); stabilization)</w:t>
      </w:r>
    </w:p>
    <w:p>
      <w:pPr>
        <w:pStyle w:val="FirstParagraph"/>
      </w:pPr>
      <w:r>
        <w:t xml:space="preserve">The above flow illustrates how a low-inventory alert could cascade through delivery deadlines.</w:t>
      </w:r>
    </w:p>
    <w:p>
      <w:pPr>
        <w:pStyle w:val="BodyText"/>
      </w:pPr>
      <w:r>
        <w:rPr>
          <w:b/>
          <w:bCs/>
        </w:rPr>
        <w:t xml:space="preserve">Conclusion:</w:t>
      </w:r>
      <w:r>
        <w:t xml:space="preserve"> </w:t>
      </w:r>
      <w:r>
        <w:t xml:space="preserve">A very low or zero silver inventory in LBMA/COMEX vaults would be unprecedented and highly disruptive. While outright physical impossibility of delivery is unlikely (exchanges can resort to cash settlements), the</w:t>
      </w:r>
      <w:r>
        <w:t xml:space="preserve"> </w:t>
      </w:r>
      <w:r>
        <w:rPr>
          <w:i/>
          <w:iCs/>
        </w:rPr>
        <w:t xml:space="preserve">market impact</w:t>
      </w:r>
      <w:r>
        <w:t xml:space="preserve"> </w:t>
      </w:r>
      <w:r>
        <w:t xml:space="preserve">would be extreme: a jump in spot prices, volatility surges, and strain on the clearing and banking system. Historically, crises (1979–80, 2020–21) were averted through emergency market measures and margin liquidations, not by new metal appearing. Preparedness (excess margin, liquidity buffers, clear policies) is essential. All participants should act preemptively (before inventories hit rock bottom) to avoid the worst-case outcomes outlined above.</w:t>
      </w:r>
    </w:p>
    <w:p>
      <w:pPr>
        <w:pStyle w:val="BodyText"/>
      </w:pPr>
      <w:r>
        <w:rPr>
          <w:b/>
          <w:bCs/>
        </w:rPr>
        <w:t xml:space="preserve">Sources:</w:t>
      </w:r>
      <w:r>
        <w:t xml:space="preserve"> </w:t>
      </w:r>
      <w:r>
        <w:t xml:space="preserve">Official data and documentation from LBMA and CME Group (vault statistics, rulebooks) and scholarly/industry analyses were used. Key references include LBMA vault reports【10†L606-L610】【51†L116-L124】, CME educational material【61†L111-L114】, and historical reviews【39†L216-L224】【56†L249-L257】. (Citations in text.)</w:t>
      </w:r>
    </w:p>
    <w:bookmarkEnd w:id="21"/>
    <w:bookmarkEnd w:id="22"/>
    <w:bookmarkEnd w:id="23"/>
    <w:p>
      <w:r>
        <w:pict>
          <v:rect style="width:0;height:1.5pt" o:hralign="center" o:hrstd="t" o:hr="t"/>
        </w:pict>
      </w:r>
    </w:p>
    <w:bookmarkStart w:id="24" w:name="citations"/>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