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20"/>
              </w:rPr>
              <w:t>Student ID :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20"/>
              </w:rPr>
              <w:t>24CS104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20"/>
              </w:rPr>
              <w:t>Student Name:</w:t>
            </w:r>
          </w:p>
        </w:tc>
        <w:tc>
          <w:tcPr>
            <w:tcW w:type="dxa" w:w="5184"/>
            <w:gridSpan w:val="3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20"/>
              </w:rPr>
              <w:t>Dharmik Vaghani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Subject code &amp;</w:t>
              <w:br/>
              <w:t>Name :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ITUE301: Advanced Web</w:t>
              <w:br/>
              <w:t>Development</w:t>
              <w:br/>
              <w:t>Frameworks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Practical :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Academic Year :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20"/>
              </w:rPr>
              <w:t>2026-27</w:t>
            </w:r>
          </w:p>
        </w:tc>
      </w:tr>
    </w:tbl>
    <w:p>
      <w:pPr>
        <w:spacing w:before="80" w:after="8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10368"/>
      </w:tblGrid>
      <w:tr>
        <w:tc>
          <w:tcPr>
            <w:tcW w:type="dxa" w:w="1036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sz w:val="22"/>
              </w:rPr>
              <w:t>Task - 2</w:t>
            </w:r>
          </w:p>
        </w:tc>
      </w:tr>
      <w:tr>
        <w:tc>
          <w:tcPr>
            <w:tcW w:type="dxa" w:w="1036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sz w:val="22"/>
              </w:rPr>
              <w:t>Aim</w:t>
            </w:r>
          </w:p>
        </w:tc>
      </w:tr>
      <w:tr>
        <w:tc>
          <w:tcPr>
            <w:tcW w:type="dxa" w:w="1036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sz w:val="19"/>
              </w:rPr>
              <w:t>To implement client-side routing and dynamic state management in React using React Router DOM, configuring  declarative routes (/ , /projects, /contact), navigation bars with active state indicators, and reactive state variables  (useState, useEffect) for interactive dark/light theme switching.</w:t>
            </w:r>
          </w:p>
        </w:tc>
      </w:tr>
      <w:tr>
        <w:tc>
          <w:tcPr>
            <w:tcW w:type="dxa" w:w="1036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sz w:val="22"/>
              </w:rPr>
              <w:t>Code</w:t>
            </w:r>
          </w:p>
        </w:tc>
      </w:tr>
      <w:tr>
        <w:tc>
          <w:tcPr>
            <w:tcW w:type="dxa" w:w="103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sz w:val="19"/>
              </w:rPr>
              <w:t xml:space="preserve">GitHub Link / Repository Link: </w:t>
            </w:r>
            <w:r>
              <w:rPr>
                <w:rFonts w:ascii="Calibri" w:hAnsi="Calibri"/>
                <w:color w:val="2563EB"/>
                <w:sz w:val="19"/>
                <w:u w:val="single"/>
              </w:rPr>
              <w:t>https://github.com/Dharmikvaghani/AWDF-PRACTICAL.git</w:t>
            </w:r>
          </w:p>
          <w:p>
            <w:pPr>
              <w:spacing w:before="80" w:after="40"/>
            </w:pPr>
            <w:r>
              <w:rPr>
                <w:rFonts w:ascii="Calibri" w:hAnsi="Calibri"/>
                <w:sz w:val="19"/>
              </w:rPr>
              <w:t>Key Implementation Highlights:</w:t>
            </w:r>
          </w:p>
          <w:p>
            <w:pPr>
              <w:spacing w:before="0" w:after="20" w:line="252" w:lineRule="auto"/>
            </w:pPr>
            <w:r>
              <w:rPr>
                <w:rFonts w:ascii="Calibri" w:hAnsi="Calibri"/>
                <w:sz w:val="18"/>
              </w:rPr>
              <w:t>1. BrowserRouter, Routes, and Route configured in App.jsx.</w:t>
            </w:r>
          </w:p>
          <w:p>
            <w:pPr>
              <w:spacing w:before="0" w:after="20" w:line="252" w:lineRule="auto"/>
            </w:pPr>
            <w:r>
              <w:rPr>
                <w:rFonts w:ascii="Calibri" w:hAnsi="Calibri"/>
                <w:sz w:val="18"/>
              </w:rPr>
              <w:t>2. NavLink component utilized with isActive styling function.</w:t>
            </w:r>
          </w:p>
          <w:p>
            <w:pPr>
              <w:spacing w:before="0" w:after="20" w:line="252" w:lineRule="auto"/>
            </w:pPr>
            <w:r>
              <w:rPr>
                <w:rFonts w:ascii="Calibri" w:hAnsi="Calibri"/>
                <w:sz w:val="18"/>
              </w:rPr>
              <w:t>3. useState hook managing global theme state (Dark/Light mode) persisted in localStorage.</w:t>
            </w:r>
          </w:p>
          <w:p>
            <w:pPr>
              <w:spacing w:before="60" w:after="0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64748B"/>
                <w:sz w:val="17"/>
              </w:rPr>
              <w:t>// src/App.jsx (Routing &amp; Theme State)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function App()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const [isDarkMode, setIsDarkMode] = useState(() =&gt; localStorage.getItem('theme') === 'dark');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const toggleTheme = () =&gt; setIsDarkMode(prev =&gt; !prev);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return 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&lt;BrowserRouter&gt;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&lt;div className={isDarkMode ? 'dark-theme' : 'light-theme'}&gt;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&lt;NavBar isDarkMode={isDarkMode} onToggleTheme={toggleTheme} /&gt;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&lt;Routes&gt;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&lt;Route path="/" element={&lt;Home /&gt;} /&gt;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&lt;Route path="/projects" element={&lt;Projects /&gt;} /&gt;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&lt;Route path="/contact" element={&lt;Contact /&gt;} /&gt;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&lt;Route path="*" element={&lt;NotFound /&gt;} /&gt;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&lt;/Routes&gt;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&lt;/BrowserRouter&gt;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Output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10368"/>
      </w:tblGrid>
      <w:tr>
        <w:tc>
          <w:tcPr>
            <w:tcW w:type="dxa" w:w="1036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sz w:val="22"/>
              </w:rPr>
              <w:t>Output</w:t>
            </w:r>
          </w:p>
        </w:tc>
      </w:tr>
      <w:tr>
        <w:tc>
          <w:tcPr>
            <w:tcW w:type="dxa" w:w="10368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12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31860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e_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3186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60" w:after="240"/>
        <w:jc w:val="center"/>
      </w:pPr>
      <w:r>
        <w:rPr>
          <w:rFonts w:ascii="Calibri" w:hAnsi="Calibri"/>
          <w:i/>
          <w:sz w:val="20"/>
        </w:rPr>
        <w:t>Figure 2: Execution Output &amp; Functional Verification for Practical 2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576" w:right="936" w:bottom="57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p>
    <w:pPr>
      <w:spacing w:before="0" w:after="40"/>
      <w:pBdr>
        <w:bottom w:val="single" w:sz="18" w:space="1" w:color="622423"/>
      </w:pBdr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184"/>
      <w:gridCol w:w="5184"/>
    </w:tblGrid>
    <w:tr>
      <w:tc>
        <w:tcPr>
          <w:tcW w:type="dxa" w:w="5184"/>
        </w:tcPr>
        <w:p>
          <w:pPr>
            <w:jc w:val="left"/>
          </w:pPr>
          <w:r>
            <w:rPr>
              <w:rFonts w:ascii="Calibri" w:hAnsi="Calibri"/>
              <w:sz w:val="19"/>
            </w:rPr>
            <w:t>Department of Computer Science and Engineering, CSPIT</w:t>
          </w:r>
        </w:p>
      </w:tc>
      <w:tc>
        <w:tcPr>
          <w:tcW w:type="dxa" w:w="5184"/>
        </w:tcPr>
        <w:p>
          <w:pPr>
            <w:jc w:val="right"/>
          </w:pPr>
          <w:r>
            <w:rPr>
              <w:rFonts w:ascii="Calibri" w:hAnsi="Calibri"/>
              <w:sz w:val="19"/>
            </w:rPr>
            <w:t xml:space="preserve">Page </w:t>
          </w:r>
          <w:fldSimple w:instr="PAGE"/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184"/>
      <w:gridCol w:w="5184"/>
    </w:tblGrid>
    <w:tr>
      <w:tc>
        <w:tcPr>
          <w:tcW w:type="dxa" w:w="5184"/>
        </w:tcPr>
        <w:p>
          <w:pPr>
            <w:jc w:val="left"/>
          </w:pPr>
          <w:r>
            <w:rPr>
              <w:rFonts w:ascii="Calibri" w:hAnsi="Calibri"/>
              <w:sz w:val="20"/>
            </w:rPr>
            <w:t>ITUE301: Advanced Web Development Frameworks</w:t>
          </w:r>
        </w:p>
      </w:tc>
      <w:tc>
        <w:tcPr>
          <w:tcW w:type="dxa" w:w="5184"/>
        </w:tcPr>
        <w:p>
          <w:pPr>
            <w:jc w:val="right"/>
          </w:pPr>
          <w:r>
            <w:rPr>
              <w:rFonts w:ascii="Calibri" w:hAnsi="Calibri"/>
              <w:b/>
              <w:sz w:val="20"/>
            </w:rPr>
            <w:t>24CS104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