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Student ID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0"/>
              </w:rPr>
              <w:t>24CS104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Student Name:</w:t>
            </w:r>
          </w:p>
        </w:tc>
        <w:tc>
          <w:tcPr>
            <w:tcW w:type="dxa" w:w="5184"/>
            <w:gridSpan w:val="3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0"/>
              </w:rPr>
              <w:t>Dharmik Vaghani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Subject code &amp;</w:t>
              <w:br/>
              <w:t>Name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ITUE301: Advanced Web</w:t>
              <w:br/>
              <w:t>Development</w:t>
              <w:br/>
              <w:t>Frameworks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Practical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Academic Year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2026-27</w:t>
            </w:r>
          </w:p>
        </w:tc>
      </w:tr>
    </w:tbl>
    <w:p>
      <w:pPr>
        <w:spacing w:before="8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0368"/>
      </w:tblGrid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Task - 8</w:t>
            </w:r>
          </w:p>
        </w:tc>
      </w:tr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Aim</w:t>
            </w:r>
          </w:p>
        </w:tc>
      </w:tr>
      <w:tr>
        <w:tc>
          <w:tcPr>
            <w:tcW w:type="dxa" w:w="1036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sz w:val="19"/>
              </w:rPr>
              <w:t>To optimize the performance and bundle delivery of a React web application using code-splitting via React.lazy()  and Suspense, isolating component re-renders with React.memo(), memoizing expensive operations with  useMemo() and useCallback(), and configuring Vite manual chunk splitting.</w:t>
            </w:r>
          </w:p>
        </w:tc>
      </w:tr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Code</w:t>
            </w:r>
          </w:p>
        </w:tc>
      </w:tr>
      <w:tr>
        <w:tc>
          <w:tcPr>
            <w:tcW w:type="dxa" w:w="10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19"/>
              </w:rPr>
              <w:t xml:space="preserve">GitHub Link / Repository Link: </w:t>
            </w:r>
            <w:r>
              <w:rPr>
                <w:rFonts w:ascii="Calibri" w:hAnsi="Calibri"/>
                <w:color w:val="2563EB"/>
                <w:sz w:val="19"/>
                <w:u w:val="single"/>
              </w:rPr>
              <w:t>https://github.com/Dharmikvaghani/AWDF-PRACTICAL.git</w:t>
            </w:r>
          </w:p>
          <w:p>
            <w:pPr>
              <w:spacing w:before="80" w:after="40"/>
            </w:pPr>
            <w:r>
              <w:rPr>
                <w:rFonts w:ascii="Calibri" w:hAnsi="Calibri"/>
                <w:sz w:val="19"/>
              </w:rPr>
              <w:t>Key Implementation Highlights: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1. Lazy loaded components (TaskAnalytics) dynamically imported on demand with skeleton fallback.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2. TaskItem wrapped in React.memo with internal edit state to eliminate full-list re-renders.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3. Vite manualChunks splitting vendor-react and vendor-router into independent cached bundles.</w:t>
            </w:r>
          </w:p>
          <w:p>
            <w:pPr>
              <w:spacing w:before="60" w:after="0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4748B"/>
                <w:sz w:val="17"/>
              </w:rPr>
              <w:t>// frontend/src/pages/TaskManager.jsx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TaskAnalytics = lazy(() =&gt; import('../components/TaskAnalytics'));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4748B"/>
                <w:sz w:val="17"/>
              </w:rPr>
              <w:t>// vite.config.js (Chunk Splitting)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build: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rollupOptions: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output: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manualChunks(id)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if (id.includes('node_modules/react') || id.includes('node_modules/react-dom')) return 'vendor-react';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if (id.includes('node_modules/react-router')) return 'vendor-router';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Output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0368"/>
      </w:tblGrid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Output</w:t>
            </w:r>
          </w:p>
        </w:tc>
      </w:tr>
      <w:tr>
        <w:tc>
          <w:tcPr>
            <w:tcW w:type="dxa" w:w="1036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3186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_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3186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240"/>
        <w:jc w:val="center"/>
      </w:pPr>
      <w:r>
        <w:rPr>
          <w:rFonts w:ascii="Calibri" w:hAnsi="Calibri"/>
          <w:i/>
          <w:sz w:val="20"/>
        </w:rPr>
        <w:t>Figure 8: Execution Output &amp; Functional Verification for Practical 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spacing w:before="0" w:after="40"/>
      <w:pBdr>
        <w:bottom w:val="single" w:sz="18" w:space="1" w:color="622423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pPr>
            <w:jc w:val="left"/>
          </w:pPr>
          <w:r>
            <w:rPr>
              <w:rFonts w:ascii="Calibri" w:hAnsi="Calibri"/>
              <w:sz w:val="19"/>
            </w:rPr>
            <w:t>Department of Computer Science and Engineering, CSPIT</w:t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Calibri" w:hAnsi="Calibri"/>
              <w:sz w:val="19"/>
            </w:rPr>
            <w:t xml:space="preserve">Page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pPr>
            <w:jc w:val="left"/>
          </w:pPr>
          <w:r>
            <w:rPr>
              <w:rFonts w:ascii="Calibri" w:hAnsi="Calibri"/>
              <w:sz w:val="20"/>
            </w:rPr>
            <w:t>ITUE301: Advanced Web Development Frameworks</w:t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Calibri" w:hAnsi="Calibri"/>
              <w:b/>
              <w:sz w:val="20"/>
            </w:rPr>
            <w:t>24CS104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