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ID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24CS104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Student Name:</w:t>
            </w:r>
          </w:p>
        </w:tc>
        <w:tc>
          <w:tcPr>
            <w:tcW w:type="dxa" w:w="5184"/>
            <w:gridSpan w:val="3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  <w:tcMar>
              <w:top w:w="50" w:type="dxa"/>
              <w:bottom w:w="50" w:type="dxa"/>
              <w:left w:w="80" w:type="dxa"/>
              <w:right w:w="80" w:type="dxa"/>
            </w:tcMar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sz w:val="20"/>
              </w:rPr>
              <w:t>Dharmik Vaghani</w:t>
            </w:r>
          </w:p>
        </w:tc>
      </w:tr>
      <w:tr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Subject code &amp;</w:t>
              <w:br/>
              <w:t>Name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8"/>
              </w:rPr>
              <w:t>ITUE301: Advanced Web</w:t>
              <w:br/>
              <w:t>Development</w:t>
              <w:br/>
              <w:t>Frameworks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Practical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19"/>
              </w:rPr>
              <w:t>Academic Year :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80" w:type="dxa"/>
              <w:right w:w="8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sz w:val="20"/>
              </w:rPr>
              <w:t>2026-27</w:t>
            </w:r>
          </w:p>
        </w:tc>
      </w:tr>
    </w:tbl>
    <w:p>
      <w:pPr>
        <w:spacing w:before="8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Task - 9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Aim</w:t>
            </w:r>
          </w:p>
        </w:tc>
      </w:tr>
      <w:tr>
        <w:tc>
          <w:tcPr>
            <w:tcW w:type="dxa" w:w="10368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spacing w:before="60" w:after="60" w:line="276" w:lineRule="auto"/>
              <w:jc w:val="left"/>
            </w:pPr>
            <w:r>
              <w:rPr>
                <w:rFonts w:ascii="Calibri" w:hAnsi="Calibri"/>
                <w:sz w:val="19"/>
              </w:rPr>
              <w:t>To enhance backend API response throughput and minimize redundant database queries by implementing an in- memory caching layer using node-cache with a 60-second Time-To-Live (TTL), user-scoped cache keys, automatic  write invalidation on mutations (POST/PUT/DELETE), and cache telemetry endpoints.</w:t>
            </w:r>
          </w:p>
        </w:tc>
      </w:tr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Code</w:t>
            </w:r>
          </w:p>
        </w:tc>
      </w:tr>
      <w:tr>
        <w:tc>
          <w:tcPr>
            <w:tcW w:type="dxa" w:w="103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0" w:after="40"/>
            </w:pPr>
            <w:r>
              <w:rPr>
                <w:rFonts w:ascii="Calibri" w:hAnsi="Calibri"/>
                <w:b/>
                <w:sz w:val="19"/>
              </w:rPr>
              <w:t xml:space="preserve">GitHub Link / Repository Link: </w:t>
            </w:r>
            <w:r>
              <w:rPr>
                <w:rFonts w:ascii="Calibri" w:hAnsi="Calibri"/>
                <w:color w:val="2563EB"/>
                <w:sz w:val="19"/>
                <w:u w:val="single"/>
              </w:rPr>
              <w:t>https://github.com/Dharmikvaghani/AWDF-PRACTICAL.git</w:t>
            </w:r>
          </w:p>
          <w:p>
            <w:pPr>
              <w:spacing w:before="80" w:after="40"/>
            </w:pPr>
            <w:r>
              <w:rPr>
                <w:rFonts w:ascii="Calibri" w:hAnsi="Calibri"/>
                <w:sz w:val="19"/>
              </w:rPr>
              <w:t>Key Implementation Highlights: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1. Shared cache module (config/cache.js) configured with stdTTL: 60s and deleteOnExpire: true.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2. Scoped cache keys per user: tasks:${userId}:list avoiding cross-tenant cache leaks.</w:t>
            </w:r>
          </w:p>
          <w:p>
            <w:pPr>
              <w:spacing w:before="0" w:after="20" w:line="252" w:lineRule="auto"/>
            </w:pPr>
            <w:r>
              <w:rPr>
                <w:rFonts w:ascii="Calibri" w:hAnsi="Calibri"/>
                <w:sz w:val="18"/>
              </w:rPr>
              <w:t>3. Immediate cache invalidation on write operations and GET /tasks/cache/stats diagnostic endpoint.</w:t>
            </w:r>
          </w:p>
          <w:p>
            <w:pPr>
              <w:spacing w:before="60" w:after="0"/>
            </w:pP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64748B"/>
                <w:sz w:val="17"/>
              </w:rPr>
              <w:t>// controllers/taskController.js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export const getTasks = async (req, res) =&gt; {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cacheKey = `tasks:${req.user.id}:list`;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cached = cache.get(cacheKey);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if (cached) return res.status(200).json({ success: true, data: cached, fromCache: true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const tasks = await Task.find({ user: req.user.id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cache.set(cacheKey, tasks, 60);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 xml:space="preserve">  res.status(200).json({ success: true, data: tasks, fromCache: false });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};</w:t>
            </w:r>
          </w:p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Output</w:t>
            </w:r>
          </w:p>
        </w:tc>
      </w:tr>
    </w:tbl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bottom w:val="single" w:sz="4" w:space="0" w:color="000000"/>
          <w:insideH w:val="single" w:sz="4" w:space="0" w:color="000000"/>
          <w:insideV w:val="single" w:sz="4" w:space="0" w:color="000000"/>
          <w:left w:val="single" w:sz="4" w:space="0" w:color="000000"/>
          <w:right w:val="single" w:sz="4" w:space="0" w:color="000000"/>
        </w:tblBorders>
      </w:tblPr>
      <w:tblGrid>
        <w:gridCol w:w="10368"/>
      </w:tblGrid>
      <w:tr>
        <w:tc>
          <w:tcPr>
            <w:tcW w:type="dxa" w:w="10368"/>
            <w:tcMar>
              <w:top w:w="40" w:type="dxa"/>
              <w:bottom w:w="40" w:type="dxa"/>
              <w:left w:w="100" w:type="dxa"/>
              <w:right w:w="10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sz w:val="22"/>
              </w:rPr>
              <w:t>Output</w:t>
            </w:r>
          </w:p>
        </w:tc>
      </w:tr>
      <w:tr>
        <w:tc>
          <w:tcPr>
            <w:tcW w:type="dxa" w:w="10368"/>
            <w:tcMar>
              <w:top w:w="100" w:type="dxa"/>
              <w:bottom w:w="100" w:type="dxa"/>
              <w:left w:w="80" w:type="dxa"/>
              <w:right w:w="80" w:type="dxa"/>
            </w:tcMar>
          </w:tcPr>
          <w:p>
            <w:pPr>
              <w:spacing w:before="120" w:after="1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3186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gure_9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318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60" w:after="240"/>
        <w:jc w:val="center"/>
      </w:pPr>
      <w:r>
        <w:rPr>
          <w:rFonts w:ascii="Calibri" w:hAnsi="Calibri"/>
          <w:i/>
          <w:sz w:val="20"/>
        </w:rPr>
        <w:t>Figure 9: Execution Output &amp; Functional Verification for Practical 9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576" w:right="936" w:bottom="57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p>
    <w:pPr>
      <w:spacing w:before="0" w:after="40"/>
      <w:pBdr>
        <w:bottom w:val="single" w:sz="18" w:space="1" w:color="622423"/>
      </w:pBdr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19"/>
            </w:rPr>
            <w:t>Department of Computer Science and Engineering, CSPIT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sz w:val="19"/>
            </w:rPr>
            <w:t xml:space="preserve">Page </w:t>
          </w:r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84"/>
      <w:gridCol w:w="5184"/>
    </w:tblGrid>
    <w:tr>
      <w:tc>
        <w:tcPr>
          <w:tcW w:type="dxa" w:w="5184"/>
        </w:tcPr>
        <w:p>
          <w:pPr>
            <w:jc w:val="left"/>
          </w:pPr>
          <w:r>
            <w:rPr>
              <w:rFonts w:ascii="Calibri" w:hAnsi="Calibri"/>
              <w:sz w:val="20"/>
            </w:rPr>
            <w:t>ITUE301: Advanced Web Development Frameworks</w:t>
          </w:r>
        </w:p>
      </w:tc>
      <w:tc>
        <w:tcPr>
          <w:tcW w:type="dxa" w:w="5184"/>
        </w:tcPr>
        <w:p>
          <w:pPr>
            <w:jc w:val="right"/>
          </w:pPr>
          <w:r>
            <w:rPr>
              <w:rFonts w:ascii="Calibri" w:hAnsi="Calibri"/>
              <w:b/>
              <w:sz w:val="20"/>
            </w:rPr>
            <w:t>24CS104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