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QUBIT Evidence Gated Source Level Post Quantum Cryptography Migration</w:t>
      </w:r>
    </w:p>
    <w:p>
      <w:pPr>
        <w:jc w:val="center"/>
      </w:pPr>
      <w:r>
        <w:rPr>
          <w:b/>
        </w:rPr>
        <w:t>Dharsan L and Akshay Kumar S</w:t>
      </w:r>
    </w:p>
    <w:p>
      <w:pPr>
        <w:jc w:val="center"/>
      </w:pPr>
      <w:r>
        <w:t>Department of Computer Science and Engineering with Cyber Security</w:t>
        <w:br/>
        <w:t>Sathyabama Institute of Science and Technology, Chennai, India</w:t>
        <w:br/>
        <w:t>{dharsanlingadurai24@gmail.com}</w:t>
      </w:r>
    </w:p>
    <w:p>
      <w:pPr>
        <w:pStyle w:val="Heading2"/>
        <w:spacing w:before="180"/>
        <w:jc w:val="center"/>
      </w:pPr>
      <w:r>
        <w:t>Abstract</w:t>
      </w:r>
    </w:p>
    <w:p>
      <w:pPr>
        <w:spacing w:after="140"/>
      </w:pPr>
      <w:r>
        <w:t>Post-quantum cryptography (PQC) migration is not a search-and-replace exercise: a source-level change can be syntactically valid yet violate protocol compatibility, persistence formats, or cryptographic usage constraints. This paper presents QUBIT, a local-first research prototype for governance-aware PQC migration. QUBIT separates discovery, planning, candidate generation, validation, and explicit approval; it records the evidence supporting each transition instead of treating a generated patch as proof of correctness. The release described here strengthens the prototype in five places: source-evidence re-anchoring after edits, auditable task reopening, deterministic sandbox selection, persisted scan completion metadata, and an opt-in boundary for external source processing. A production dashboard build also reduces bundled CSS from 103.85 KB to 58.93 KB by shipping only the Latin font subsets used by the interface. Verification is deliberately scoped: a focused backend suite executed 98 tests successfully, the dashboard production build succeeded, and a compiled Windows desktop run exercised scan, task reopening, candidate generation, rejection, and the apply safety gate. These observations do not establish general migration correctness. They demonstrate a reproducible, evidence-gated basis for evaluating source-level PQC migration without overstating what an automated tool has proved.</w:t>
      </w:r>
    </w:p>
    <w:p>
      <w:r>
        <w:rPr>
          <w:i/>
        </w:rPr>
        <w:t>Index Terms - post-quantum cryptography, software migration, cryptographic agility, secure program repair, metamorphic testing</w:t>
      </w:r>
    </w:p>
    <w:p>
      <w:pPr>
        <w:pStyle w:val="Heading1"/>
      </w:pPr>
      <w:r>
        <w:t>I. Introduction</w:t>
      </w:r>
    </w:p>
    <w:p>
      <w:r>
        <w:t>Organizations beginning PQC migration must determine more than whether a deprecated primitive appears in a repository. They must determine where it is used, whether the application owns the surrounding contract, what replacement is appropriate in context, and whether a proposed change preserves required behavior. A systematic review of software-system PQC migration reports substantial implementation effort and inconsistent definitions of migration roles and steps [1]. Enterprise migration tooling has likewise emphasized inventory and risk assessment [2], while transition strategy work highlights deployment planning and hybrid-operation choices [3]. These findings motivate a tool that treats code transformation as a governed decision rather than an automatic replacement.</w:t>
      </w:r>
    </w:p>
    <w:p>
      <w:r>
        <w:t>QUBIT is a desktop-oriented research prototype for that decision process. Its central design claim is intentionally narrow: a patch should be accepted only when the system can show what it changed, why the target is in scope, which validation gates were run, which were inapplicable or skipped, and who approved the change. Candidate text from a deterministic transformation or a language model is not itself evidence. This distinction is aligned with property-based security repair, where safety properties constrain generated patches instead of relying only on examples [5], and with metamorphic security testing, where relations between executions provide evidence when a direct expected output is unavailable [6].</w:t>
      </w:r>
    </w:p>
    <w:p>
      <w:r>
        <w:t>This paper makes four contributions. First, it specifies QUBIT's evidence-gated workflow and its trust boundaries. Second, it documents release hardening that prevents stale evidence from being mistaken for current evidence and makes operational state transitions auditable. Third, it reports a fixed, reproducible release-verification snapshot rather than combining unrelated historical totals. Fourth, it states the limits that a future empirical evaluation must overcome before broad effectiveness claims are justified.</w:t>
      </w:r>
    </w:p>
    <w:p>
      <w:pPr>
        <w:pStyle w:val="Heading1"/>
      </w:pPr>
      <w:r>
        <w:t>II. Related Work</w:t>
      </w:r>
    </w:p>
    <w:p>
      <w:r>
        <w:t>The PQC migration literature spans software-process reviews, enterprise inventory tools, transition strategy, and governance frameworks. Näther et al. synthesize migration practices and identify recurring implementation and coordination challenges [1]. Thakur et al. describe enterprise-oriented inventory generation and risk assessment [2]. Aydeger et al. discuss transition strategies for a quantum-resilient future [3]. Birgin and Celiktas propose an operational lifecycle framework for PQC transition [4]. QUBIT is complementary to these directions: it focuses on source-level evidence, candidate-patch governance, and explicit proof obligations at the point a repository change is considered.</w:t>
      </w:r>
    </w:p>
    <w:p>
      <w:r>
        <w:t>The software-engineering basis for QUBIT's validation model is also deliberate. Huang et al. show how explicit safety properties can drive vulnerability-patch generation [5]. Mai et al. provide security-focused metamorphic relations that make security properties testable despite the oracle problem [6]. Liang et al. position interactive patch filtering as a useful debugging aid, reinforcing the importance of human review rather than silent automation [7]. Chen describes metamorphic testing as a practical response to the test-oracle problem [8]. None of these works is treated as a direct evaluation of QUBIT; they motivate design choices that QUBIT records and exposes for evaluation.</w:t>
      </w:r>
    </w:p>
    <w:p>
      <w:pPr>
        <w:pStyle w:val="Heading1"/>
      </w:pPr>
      <w:r>
        <w:t>III. System Design</w:t>
      </w:r>
    </w:p>
    <w:p>
      <w:pPr>
        <w:pStyle w:val="Heading2"/>
      </w:pPr>
      <w:r>
        <w:t>A. Evidence Gated Workflow</w:t>
      </w:r>
    </w:p>
    <w:p>
      <w:r>
        <w:t>QUBIT processes a finding through five stages: scan, plan, generate, validate, and apply. The scanner records the source location, detection rule, and normalized cryptographic context. Planning resolves an intended action and determines whether the finding is locally modifiable, dependent on an external protocol, tied to stored data, or constrained by surrounding usage. Generation may use deterministic transformations or a configured model provider, but generation produces a candidate only. Validation evaluates occurrence-scoped evidence, source anchors, available test or metamorphic checks, and policy constraints. Apply is a separate approval action; no candidate becomes a working-tree edit merely because it was generated.</w:t>
      </w:r>
    </w:p>
    <w:p>
      <w:pPr>
        <w:pStyle w:val="Heading2"/>
      </w:pPr>
      <w:r>
        <w:t>B. Trust and Governance Boundaries</w:t>
      </w:r>
    </w:p>
    <w:p>
      <w:r>
        <w:t>The default configuration keeps source processing local. External source processing requires an explicit allow_external_source_processing setting. If an external provider is enabled, its output is untrusted candidate data and cannot establish acceptance. The approval boundary is equally important: a reviewer can reject a proposal, and a rejected proposal is blocked from application. The application retains proposal state and reviewer notes so that the decision is inspectable rather than implicit.</w:t>
      </w:r>
    </w:p>
    <w:p>
      <w:pPr>
        <w:pStyle w:val="Heading2"/>
      </w:pPr>
      <w:r>
        <w:t>C. Acceptance Invariants</w:t>
      </w:r>
    </w:p>
    <w:p>
      <w:r>
        <w:t>The release enforces three invariants. First, source evidence is anchored to the current file content. After a same-file edit, stale locations are re-anchored only when a unique current match is found; missing or ambiguous matches require a rescan rather than being reported as satisfied. Second, reopening a rejected task is explicit and tenant-scoped, preserving the rejection history while restoring a reviewable state. Third, a test sandbox is selected from declared configuration, a commit-pinned repository image, a local image, or a language fallback in that order. These invariants protect the meaning of a dashboard state from becoming detached from the source and execution evidence behind it.</w:t>
      </w:r>
    </w:p>
    <w:p>
      <w:pPr>
        <w:pStyle w:val="Heading1"/>
      </w:pPr>
      <w:r>
        <w:t>IV. Release Improvements</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1843"/>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Area</w:t>
            </w:r>
          </w:p>
        </w:tc>
        <w:tc>
          <w:tcPr>
            <w:tcW w:type="dxa" w:w="3499"/>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Release change</w:t>
            </w:r>
          </w:p>
        </w:tc>
        <w:tc>
          <w:tcPr>
            <w:tcW w:type="dxa" w:w="4766"/>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Reason</w:t>
            </w:r>
          </w:p>
        </w:tc>
      </w:tr>
      <w:tr>
        <w:trPr>
          <w:cantSplit/>
        </w:trPr>
        <w:tc>
          <w:tcPr>
            <w:tcW w:type="dxa" w:w="1843"/>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Evidence integrity</w:t>
            </w:r>
          </w:p>
        </w:tc>
        <w:tc>
          <w:tcPr>
            <w:tcW w:type="dxa" w:w="349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Re-anchor stale scanner evidence after same-file edits; defer ambiguous cases for a rescan.</w:t>
            </w:r>
          </w:p>
        </w:tc>
        <w:tc>
          <w:tcPr>
            <w:tcW w:type="dxa" w:w="476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Prevents an old line reference from being treated as proof about a changed file.</w:t>
            </w:r>
          </w:p>
        </w:tc>
      </w:tr>
      <w:tr>
        <w:trPr>
          <w:cantSplit/>
        </w:trPr>
        <w:tc>
          <w:tcPr>
            <w:tcW w:type="dxa" w:w="1843"/>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Workflow governance</w:t>
            </w:r>
          </w:p>
        </w:tc>
        <w:tc>
          <w:tcPr>
            <w:tcW w:type="dxa" w:w="3499"/>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Add an auditable task-reopen action and preserve rejection history.</w:t>
            </w:r>
          </w:p>
        </w:tc>
        <w:tc>
          <w:tcPr>
            <w:tcW w:type="dxa" w:w="476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Allows a reviewer to reconsider a proposal without erasing prior review context.</w:t>
            </w:r>
          </w:p>
        </w:tc>
      </w:tr>
      <w:tr>
        <w:trPr>
          <w:cantSplit/>
        </w:trPr>
        <w:tc>
          <w:tcPr>
            <w:tcW w:type="dxa" w:w="1843"/>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Execution evidence</w:t>
            </w:r>
          </w:p>
        </w:tc>
        <w:tc>
          <w:tcPr>
            <w:tcW w:type="dxa" w:w="349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Persist scan completion time and make sandbox image choice deterministic.</w:t>
            </w:r>
          </w:p>
        </w:tc>
        <w:tc>
          <w:tcPr>
            <w:tcW w:type="dxa" w:w="476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Makes the operational record and test environment easier to interpret and reproduce.</w:t>
            </w:r>
          </w:p>
        </w:tc>
      </w:tr>
      <w:tr>
        <w:trPr>
          <w:cantSplit/>
        </w:trPr>
        <w:tc>
          <w:tcPr>
            <w:tcW w:type="dxa" w:w="1843"/>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Source confidentiality</w:t>
            </w:r>
          </w:p>
        </w:tc>
        <w:tc>
          <w:tcPr>
            <w:tcW w:type="dxa" w:w="3499"/>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Disable external source processing unless the operator explicitly opts in.</w:t>
            </w:r>
          </w:p>
        </w:tc>
        <w:tc>
          <w:tcPr>
            <w:tcW w:type="dxa" w:w="476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Keeps the default execution path local-first.</w:t>
            </w:r>
          </w:p>
        </w:tc>
      </w:tr>
      <w:tr>
        <w:trPr>
          <w:cantSplit/>
        </w:trPr>
        <w:tc>
          <w:tcPr>
            <w:tcW w:type="dxa" w:w="1843"/>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Startup payload</w:t>
            </w:r>
          </w:p>
        </w:tc>
        <w:tc>
          <w:tcPr>
            <w:tcW w:type="dxa" w:w="349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Ship Latin-only interface font subsets and remove an ineffective dynamic client import.</w:t>
            </w:r>
          </w:p>
        </w:tc>
        <w:tc>
          <w:tcPr>
            <w:tcW w:type="dxa" w:w="476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Reduces production CSS payload without changing interface behavior.</w:t>
            </w:r>
          </w:p>
        </w:tc>
      </w:tr>
    </w:tbl>
    <w:p>
      <w:pPr>
        <w:spacing w:after="20"/>
      </w:pPr>
    </w:p>
    <w:p>
      <w:pPr>
        <w:spacing w:before="20" w:after="120"/>
        <w:jc w:val="center"/>
      </w:pPr>
      <w:r>
        <w:rPr>
          <w:i/>
          <w:sz w:val="17"/>
        </w:rPr>
        <w:t>Table I. Release changes and their evidence-preserving purpose.</w:t>
      </w:r>
    </w:p>
    <w:p>
      <w:r>
        <w:t>The startup optimization is intentionally reported as a bundle measurement, not a fabricated cold-start benchmark. After the production dashboard build, CSS decreased from 103.85 KB to 58.93 KB (43.3% uncompressed reduction; gzip output decreased from 33.46 KB to 11.35 KB). This removes unnecessary font subsets from the shipped interface. The same build no longer reports the earlier ineffective-dynamic-import warning. The remaining large visualization chunk is route-lazy; it is not evidence of initial-screen cost without a controlled timing experiment.</w:t>
      </w:r>
    </w:p>
    <w:p>
      <w:pPr>
        <w:pStyle w:val="Heading1"/>
      </w:pPr>
      <w:r>
        <w:t>V. Verification Method</w:t>
      </w:r>
    </w:p>
    <w:p>
      <w:pPr>
        <w:pStyle w:val="Heading2"/>
      </w:pPr>
      <w:r>
        <w:t>A. Scope</w:t>
      </w:r>
    </w:p>
    <w:p>
      <w:r>
        <w:t>The verification snapshot concerns the released QUBIT workspace and compiled Windows desktop executable. It is not a population study of PQC migrations and does not claim semantic correctness for all supported languages or repositories. The aim is narrower: establish that the release changes are exercised by automated tests and by the deployed desktop service, and identify which claims remain untested.</w:t>
      </w:r>
    </w:p>
    <w:p>
      <w:pPr>
        <w:pStyle w:val="Heading2"/>
      </w:pPr>
      <w:r>
        <w:t>B. Automated Checks</w:t>
      </w:r>
    </w:p>
    <w:p>
      <w:r>
        <w:t>On 14 September 2026, a focused Python test selection exercised the migration evidence, task-resolution, sandbox-selection, API accounting, and related hardening paths. The command completed with 98 passed tests and 2 warnings in 76.41 seconds. The dashboard production build completed successfully after the startup changes. These are release checks, not an aggregate claim about every test file in the repository; skipped, unexecuted, or historically reported tests are not added to the denominator.</w:t>
      </w:r>
    </w:p>
    <w:p>
      <w:pPr>
        <w:pStyle w:val="Heading2"/>
      </w:pPr>
      <w:r>
        <w:t>C. Compiled Desktop Exercise</w:t>
      </w:r>
    </w:p>
    <w:p>
      <w:r>
        <w:t>The Windows release executable was launched and its locally served application API was exercised through the same service created by the desktop shell. The run completed a code-only scan against a workspace target, observed a succeeded scan state with a persisted completion time, reopened a previously rejected migration task, generated a template-only candidate without invoking an external model, rejected that candidate, and verified that an attempt to apply the rejected candidate was blocked. This verifies safety transitions in the compiled application path; it does not substitute for a human usability study or a full behavioral proof of the external repositories.</w:t>
      </w:r>
    </w:p>
    <w:p>
      <w:pPr>
        <w:pStyle w:val="Heading1"/>
      </w:pPr>
      <w:r>
        <w:t>VI. Verification Results</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2448"/>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Check</w:t>
            </w:r>
          </w:p>
        </w:tc>
        <w:tc>
          <w:tcPr>
            <w:tcW w:type="dxa" w:w="3456"/>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Observed result</w:t>
            </w:r>
          </w:p>
        </w:tc>
        <w:tc>
          <w:tcPr>
            <w:tcW w:type="dxa" w:w="4205"/>
            <w:shd w:fill="1F4E79"/>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rPr>
                <w:b/>
                <w:color w:val="FFFFFF"/>
              </w:rPr>
              <w:t>Claim supported</w:t>
            </w:r>
          </w:p>
        </w:tc>
      </w:tr>
      <w:tr>
        <w:trPr>
          <w:cantSplit/>
        </w:trPr>
        <w:tc>
          <w:tcPr>
            <w:tcW w:type="dxa" w:w="2448"/>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Focused backend verification</w:t>
            </w:r>
          </w:p>
        </w:tc>
        <w:tc>
          <w:tcPr>
            <w:tcW w:type="dxa" w:w="345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98 passed; 2 warnings; 76.41 s</w:t>
            </w:r>
          </w:p>
        </w:tc>
        <w:tc>
          <w:tcPr>
            <w:tcW w:type="dxa" w:w="4205"/>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selected hardening paths execute successfully in this workspace.</w:t>
            </w:r>
          </w:p>
        </w:tc>
      </w:tr>
      <w:tr>
        <w:trPr>
          <w:cantSplit/>
        </w:trPr>
        <w:tc>
          <w:tcPr>
            <w:tcW w:type="dxa" w:w="2448"/>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Dashboard production build</w:t>
            </w:r>
          </w:p>
        </w:tc>
        <w:tc>
          <w:tcPr>
            <w:tcW w:type="dxa" w:w="345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Succeeded; CSS 58.93 KB</w:t>
            </w:r>
          </w:p>
        </w:tc>
        <w:tc>
          <w:tcPr>
            <w:tcW w:type="dxa" w:w="4205"/>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startup-payload change builds and reduces shipped CSS.</w:t>
            </w:r>
          </w:p>
        </w:tc>
      </w:tr>
      <w:tr>
        <w:trPr>
          <w:cantSplit/>
        </w:trPr>
        <w:tc>
          <w:tcPr>
            <w:tcW w:type="dxa" w:w="2448"/>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Compiled desktop scan</w:t>
            </w:r>
          </w:p>
        </w:tc>
        <w:tc>
          <w:tcPr>
            <w:tcW w:type="dxa" w:w="345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Succeeded; no recorded scan error</w:t>
            </w:r>
          </w:p>
        </w:tc>
        <w:tc>
          <w:tcPr>
            <w:tcW w:type="dxa" w:w="4205"/>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The packaged service can scan a configured code target.</w:t>
            </w:r>
          </w:p>
        </w:tc>
      </w:tr>
      <w:tr>
        <w:trPr>
          <w:cantSplit/>
        </w:trPr>
        <w:tc>
          <w:tcPr>
            <w:tcW w:type="dxa" w:w="2448"/>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Reopen transition</w:t>
            </w:r>
          </w:p>
        </w:tc>
        <w:tc>
          <w:tcPr>
            <w:tcW w:type="dxa" w:w="3456"/>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Rejected task returned to reviewable state with history retained</w:t>
            </w:r>
          </w:p>
        </w:tc>
        <w:tc>
          <w:tcPr>
            <w:tcW w:type="dxa" w:w="4205"/>
            <w:shd w:fill="F4F8FB"/>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Review state is not terminal when a reviewer explicitly reopens it.</w:t>
            </w:r>
          </w:p>
        </w:tc>
      </w:tr>
      <w:tr>
        <w:trPr>
          <w:cantSplit/>
        </w:trPr>
        <w:tc>
          <w:tcPr>
            <w:tcW w:type="dxa" w:w="2448"/>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center"/>
            </w:pPr>
            <w:r>
              <w:t>Rejected apply attempt</w:t>
            </w:r>
          </w:p>
        </w:tc>
        <w:tc>
          <w:tcPr>
            <w:tcW w:type="dxa" w:w="3456"/>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Blocked as not approved</w:t>
            </w:r>
          </w:p>
        </w:tc>
        <w:tc>
          <w:tcPr>
            <w:tcW w:type="dxa" w:w="4205"/>
            <w:tcBorders>
              <w:top w:val="single" w:sz="4" w:color="D9D9D9"/>
              <w:left w:val="single" w:sz="4" w:color="D9D9D9"/>
              <w:bottom w:val="single" w:sz="4" w:color="D9D9D9"/>
              <w:right w:val="single" w:sz="4" w:color="D9D9D9"/>
              <w:insideH w:val="single" w:sz="4" w:color="D9D9D9"/>
              <w:insideV w:val="single" w:sz="4" w:color="D9D9D9"/>
            </w:tcBorders>
            <w:tcMar>
              <w:top w:w="90" w:type="dxa"/>
              <w:start w:w="100" w:type="dxa"/>
              <w:bottom w:w="90" w:type="dxa"/>
              <w:end w:w="100" w:type="dxa"/>
            </w:tcMar>
            <w:vAlign w:val="center"/>
          </w:tcPr>
          <w:p>
            <w:pPr>
              <w:pStyle w:val="TableText"/>
              <w:jc w:val="left"/>
            </w:pPr>
            <w:r>
              <w:t>A rejected candidate cannot cross the apply boundary.</w:t>
            </w:r>
          </w:p>
        </w:tc>
      </w:tr>
    </w:tbl>
    <w:p>
      <w:pPr>
        <w:spacing w:after="20"/>
      </w:pPr>
    </w:p>
    <w:p>
      <w:pPr>
        <w:spacing w:before="20" w:after="120"/>
        <w:jc w:val="center"/>
      </w:pPr>
      <w:r>
        <w:rPr>
          <w:i/>
          <w:sz w:val="17"/>
        </w:rPr>
        <w:t>Table II. Fixed release-verification observations.</w:t>
      </w:r>
    </w:p>
    <w:p>
      <w:r>
        <w:t>These results are intentionally modest. They show that the release contains functioning evidence and governance gates; they do not show that a generated PQC replacement is cryptographically appropriate in every context. In particular, a scan count reduction alone cannot establish behavior preservation, and a passing focused suite cannot replace project-specific integration evidence. This separation between a demonstrated gate and an unproven property is the central reporting discipline of QUBIT.</w:t>
      </w:r>
    </w:p>
    <w:p>
      <w:pPr>
        <w:pStyle w:val="Heading1"/>
      </w:pPr>
      <w:r>
        <w:t>VII. Threats to Validity and Research Agenda</w:t>
      </w:r>
    </w:p>
    <w:p>
      <w:pPr>
        <w:pStyle w:val="Heading2"/>
      </w:pPr>
      <w:r>
        <w:t>A. Construct Validity</w:t>
      </w:r>
    </w:p>
    <w:p>
      <w:r>
        <w:t>The current release verification measures operational behavior of the tool, not independently adjudicated migration correctness. Scanner detections are evidence of scanner behavior, not ground truth. A candidate accepted at a structural evidence level must not be described as behaviorally proven when its project test suite or applicable metamorphic relation did not run.</w:t>
      </w:r>
    </w:p>
    <w:p>
      <w:pPr>
        <w:pStyle w:val="Heading2"/>
      </w:pPr>
      <w:r>
        <w:t>B. Internal Validity</w:t>
      </w:r>
    </w:p>
    <w:p>
      <w:r>
        <w:t>The prototype includes deterministic and configurable generation paths. Any study that compares model-routing strategies must hold routing, review, prompt, retry budget, and evaluation corpus constant. It must run stochastic arms repeatedly, retain raw outcomes, and report distributions rather than a single best run. Human labels should be generated independently from fixture authorship, with adjudication and predeclared criteria.</w:t>
      </w:r>
    </w:p>
    <w:p>
      <w:pPr>
        <w:pStyle w:val="Heading2"/>
      </w:pPr>
      <w:r>
        <w:t>C. External Validity</w:t>
      </w:r>
    </w:p>
    <w:p>
      <w:r>
        <w:t>A small set of repository workspaces cannot justify language-wide or industry-wide claims. Future evaluation should publish immutable repository revisions, licensed inputs, configuration files, lockfiles, test images, raw scan and patch records, rejected proposals, and a clear accounting of skipped stages. A held-out corpus is needed before conclusions are generalized beyond the fixed evaluation set.</w:t>
      </w:r>
    </w:p>
    <w:p>
      <w:pPr>
        <w:pStyle w:val="Heading1"/>
      </w:pPr>
      <w:r>
        <w:t>VIII. Reproducibility and Responsible Deployment</w:t>
      </w:r>
    </w:p>
    <w:p>
      <w:r>
        <w:t>A publishable artifact should allow an evaluator to distinguish detection, proposal generation, validation, approval, and application. The release therefore records evidence rather than collapsing outcomes into a single success label. For a conference artifact, the recommended package includes immutable commit identifiers, environment lockfiles and images, rule versions, command scripts, random seeds where applicable, raw scan/patch/test records, and SBOM or CBOM outputs where they are generated. Hosted and local model results should be reported separately because their confidentiality and reproducibility properties differ.</w:t>
      </w:r>
    </w:p>
    <w:p>
      <w:r>
        <w:t>Responsible deployment also requires an explicit source-processing boundary. QUBIT defaults to local processing and requires opt-in for external source processing. The default does not make every local dependency trustworthy, nor does it remove the need for review. It makes a high-consequence data-flow choice visible to the operator and to a future evaluator.</w:t>
      </w:r>
    </w:p>
    <w:p>
      <w:pPr>
        <w:pStyle w:val="Heading1"/>
      </w:pPr>
      <w:r>
        <w:t>IX. Conclusion</w:t>
      </w:r>
    </w:p>
    <w:p>
      <w:r>
        <w:t>QUBIT is a research prototype for evidence-gated source-level PQC migration. Its contribution is not a claim that automated replacement can safely solve every cryptographic migration. Instead, it provides a workflow in which discovery, ownership reasoning, candidate generation, validation evidence, and approval are separable and auditable. The release hardening strengthens the integrity of that workflow: stale evidence is re-anchored or deferred, rejected work can be reconsidered without losing history, external processing is opt-in, sandbox selection is deterministic, and the desktop payload is smaller without a behavior change. The fixed verification snapshot demonstrates these release properties while preserving the distinction between an exercised gate and a proven migration outcome. That distinction is the foundation for a stronger future empirical evaluation.</w:t>
      </w:r>
    </w:p>
    <w:p>
      <w:pPr>
        <w:pStyle w:val="Heading1"/>
      </w:pPr>
      <w:r>
        <w:t>References</w:t>
      </w:r>
    </w:p>
    <w:p>
      <w:pPr>
        <w:spacing w:after="60"/>
        <w:ind w:left="317" w:hanging="317"/>
      </w:pPr>
      <w:r>
        <w:rPr>
          <w:sz w:val="18"/>
        </w:rPr>
        <w:t>[1] C. Näther, D. Herzinger, S.-L. Gazdag, J.-P. Steghöfer, S. Daum, and D. Loebenberger, "Migrating Software Systems Toward Post-Quantum Cryptography - A Systematic Literature Review," IEEE Access, vol. 12, pp. 132107-132126, 2024, doi: 10.1109/ACCESS.2024.3450306.</w:t>
      </w:r>
    </w:p>
    <w:p>
      <w:pPr>
        <w:spacing w:after="60"/>
        <w:ind w:left="317" w:hanging="317"/>
      </w:pPr>
      <w:r>
        <w:rPr>
          <w:sz w:val="18"/>
        </w:rPr>
        <w:t>[2] M. S. D. Thakur, K. Vidhani, H. B. Syed, and M. A. Rajan, "Enterprise Post Quantum Cryptography Migration Tools," in 2024 16th International Conference on COMmunication Systems and NETworkS (COMSNETS), pp. 327-329, 2024, doi: 10.1109/COMSNETS59351.2024.10427442.</w:t>
      </w:r>
    </w:p>
    <w:p>
      <w:pPr>
        <w:spacing w:after="60"/>
        <w:ind w:left="317" w:hanging="317"/>
      </w:pPr>
      <w:r>
        <w:rPr>
          <w:sz w:val="18"/>
        </w:rPr>
        <w:t>[3] A. Aydeger, E. Zeydan, A. K. Yadav, K. T. Hemachandra, and M. Liyanage, "Towards a Quantum-Resilient Future Strategies for Transitioning to Post-Quantum Cryptography," in 2024 15th International Conference on Network of the Future (NoF), pp. 195-203, 2024, doi: 10.1109/NoF62948.2024.10741441.</w:t>
      </w:r>
    </w:p>
    <w:p>
      <w:pPr>
        <w:spacing w:after="60"/>
        <w:ind w:left="317" w:hanging="317"/>
      </w:pPr>
      <w:r>
        <w:rPr>
          <w:sz w:val="18"/>
        </w:rPr>
        <w:t>[4] B. Birgin and B. Celiktas, "From Policy to Practice A Sector-Agnostic Operational Framework for Post-Quantum Cryptography Transition," IEEE Access, vol. 14, pp. 33534-33551, 2026, doi: 10.1109/ACCESS.2026.3669437.</w:t>
      </w:r>
    </w:p>
    <w:p>
      <w:pPr>
        <w:spacing w:after="60"/>
        <w:ind w:left="317" w:hanging="317"/>
      </w:pPr>
      <w:r>
        <w:rPr>
          <w:sz w:val="18"/>
        </w:rPr>
        <w:t>[5] Z. Huang, D. Lie, G. Tan, and T. Jaeger, "Using Safety Properties to Generate Vulnerability Patches," in 2019 IEEE Symposium on Security and Privacy (SP), pp. 539-554, 2019, doi: 10.1109/SP.2019.00071.</w:t>
      </w:r>
    </w:p>
    <w:p>
      <w:pPr>
        <w:spacing w:after="60"/>
        <w:ind w:left="317" w:hanging="317"/>
      </w:pPr>
      <w:r>
        <w:rPr>
          <w:sz w:val="18"/>
        </w:rPr>
        <w:t>[6] P. X. Mai, F. Pastore, A. Goknil, and L. C. Briand, "Metamorphic Security Testing for Web Systems," in 2020 IEEE 13th International Conference on Software Testing, Validation and Verification (ICST), pp. 186-197, 2020, doi: 10.1109/ICST46399.2020.00028.</w:t>
      </w:r>
    </w:p>
    <w:p>
      <w:pPr>
        <w:spacing w:after="60"/>
        <w:ind w:left="317" w:hanging="317"/>
      </w:pPr>
      <w:r>
        <w:rPr>
          <w:sz w:val="18"/>
        </w:rPr>
        <w:t>[7] J. Liang, R. Ji, J. Jiang, S. Zhou, Y. Lou, Y. Xiong, and G. Huang, "Interactive Patch Filtering as Debugging Aid," in 2021 IEEE International Conference on Software Maintenance and Evolution (ICSME), 2021, doi: 10.1109/ICSME52107.2021.00028.</w:t>
      </w:r>
    </w:p>
    <w:p>
      <w:pPr>
        <w:spacing w:after="60"/>
        <w:ind w:left="317" w:hanging="317"/>
      </w:pPr>
      <w:r>
        <w:rPr>
          <w:sz w:val="18"/>
        </w:rPr>
        <w:t>[8] T. Y. Chen, "Metamorphic Testing A Simple Method for Alleviating the Test Oracle Problem," in 2015 IEEE ACM 10th International Workshop on Automation of Software Test, pp. 53-54, 2015, doi: 10.1109/AST.2015.18.</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b w:val="0"/>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line="240" w:lineRule="auto"/>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QUBIT Evidence Gated Source Level Post Quantum Cryptography Migration</dc:title>
  <dc:subject>Evidence-gated source-level post-quantum cryptography migration</dc:subject>
  <dc:creator>Dharsan L; Akshay Kumar S</dc:creator>
  <cp:keywords>post-quantum cryptography, secure software migration, validation, cryptographic agility</cp:keywords>
  <dc:description>generated by python-docx</dc:description>
  <cp:lastModifiedBy/>
  <cp:revision>1</cp:revision>
  <dcterms:created xsi:type="dcterms:W3CDTF">2013-12-23T23:15:00Z</dcterms:created>
  <dcterms:modified xsi:type="dcterms:W3CDTF">2013-12-23T23:15:00Z</dcterms:modified>
  <cp:category/>
</cp:coreProperties>
</file>