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120"/>
      </w:pPr>
      <w:r>
        <w:rPr>
          <w:b/>
          <w:color w:val="182B49"/>
          <w:sz w:val="40"/>
        </w:rPr>
        <w:t>Draft a formal pump inspection approval note referencing</w:t>
      </w:r>
    </w:p>
    <w:p>
      <w:pPr>
        <w:pStyle w:val="Heading2"/>
      </w:pPr>
      <w:r>
        <w:t>Approval Note for Pump PMP-7001 Inspection</w:t>
      </w:r>
    </w:p>
    <w:p>
      <w:r>
        <w:rPr>
          <w:b/>
        </w:rPr>
        <w:t>Date:</w:t>
      </w:r>
      <w:r>
        <w:t xml:space="preserve"> March 10, 2024</w:t>
      </w:r>
    </w:p>
    <w:p>
      <w:r>
        <w:rPr>
          <w:b/>
        </w:rPr>
        <w:t>Inspection Conducted By:</w:t>
      </w:r>
      <w:r>
        <w:t xml:space="preserve"> E. Sharma, Lead Reliability Engineer</w:t>
      </w:r>
    </w:p>
    <w:p>
      <w:r>
        <w:rPr>
          <w:b/>
        </w:rPr>
        <w:t>Equipment Tag ID:</w:t>
      </w:r>
      <w:r>
        <w:t xml:space="preserve"> PMP-7001</w:t>
      </w:r>
    </w:p>
    <w:p>
      <w:pPr>
        <w:spacing w:after="80"/>
      </w:pPr>
    </w:p>
    <w:p>
      <w:r>
        <w:rPr>
          <w:b/>
        </w:rPr>
        <w:t>Reference:</w:t>
      </w:r>
      <w:r>
        <w:t xml:space="preserve"> SOP-MNT-042: Routine Pump and Turbine Vibration Inspection &amp; Approval Protocol</w:t>
      </w:r>
    </w:p>
    <w:p>
      <w:pPr>
        <w:spacing w:after="80"/>
      </w:pPr>
    </w:p>
    <w:p>
      <w:pPr>
        <w:pStyle w:val="Heading2"/>
      </w:pPr>
      <w:r>
        <w:t>1. Equipment Information</w:t>
      </w:r>
    </w:p>
    <w:p>
      <w:pPr>
        <w:pStyle w:val="ListBullet"/>
      </w:pPr>
      <w:r>
        <w:rPr>
          <w:b/>
        </w:rPr>
        <w:t>Location:</w:t>
      </w:r>
      <w:r>
        <w:t xml:space="preserve"> [Insert Location of PMP-7001]</w:t>
      </w:r>
    </w:p>
    <w:p>
      <w:pPr>
        <w:pStyle w:val="ListBullet"/>
      </w:pPr>
      <w:r>
        <w:rPr>
          <w:b/>
        </w:rPr>
        <w:t>Status:</w:t>
      </w:r>
      <w:r>
        <w:t xml:space="preserve"> Compliant (Zone A Normal Operating Limits)</w:t>
      </w:r>
    </w:p>
    <w:p>
      <w:pPr>
        <w:pStyle w:val="Heading2"/>
      </w:pPr>
      <w:r>
        <w:t>2. Inspection Results</w:t>
      </w:r>
    </w:p>
    <w:p>
      <w:pPr>
        <w:pStyle w:val="ListBullet"/>
      </w:pPr>
      <w:r>
        <w:rPr>
          <w:b/>
        </w:rPr>
        <w:t>Vibration Measurement:</w:t>
      </w:r>
    </w:p>
    <w:p>
      <w:pPr>
        <w:pStyle w:val="ListBullet"/>
      </w:pPr>
      <w:r>
        <w:t>Recorded Peak Vibration RMS: 2.1 mm/s</w:t>
      </w:r>
    </w:p>
    <w:p>
      <w:pPr>
        <w:pStyle w:val="ListBullet"/>
      </w:pPr>
      <w:r>
        <w:t>Peak Frequency: 48 Hz</w:t>
      </w:r>
    </w:p>
    <w:p>
      <w:pPr>
        <w:pStyle w:val="ListBullet"/>
      </w:pPr>
      <w:r>
        <w:rPr>
          <w:b/>
        </w:rPr>
        <w:t>Oil Cleanliness:</w:t>
      </w:r>
      <w:r>
        <w:t xml:space="preserve"> ISO 16/13 Satisfactory</w:t>
      </w:r>
    </w:p>
    <w:p>
      <w:pPr>
        <w:pStyle w:val="ListBullet"/>
      </w:pPr>
      <w:r>
        <w:rPr>
          <w:b/>
        </w:rPr>
        <w:t>Seal Temperature:</w:t>
      </w:r>
      <w:r>
        <w:t xml:space="preserve"> 65°C (Below 80°C threshold)</w:t>
      </w:r>
    </w:p>
    <w:p>
      <w:pPr>
        <w:pStyle w:val="ListBullet"/>
      </w:pPr>
      <w:r>
        <w:rPr>
          <w:b/>
        </w:rPr>
        <w:t>Other Findings:</w:t>
      </w:r>
    </w:p>
    <w:p>
      <w:pPr>
        <w:pStyle w:val="ListBullet"/>
      </w:pPr>
      <w:r>
        <w:t>No active seal leaks</w:t>
      </w:r>
    </w:p>
    <w:p>
      <w:pPr>
        <w:pStyle w:val="ListBullet"/>
      </w:pPr>
      <w:r>
        <w:t>No oil discoloration</w:t>
      </w:r>
    </w:p>
    <w:p>
      <w:pPr>
        <w:pStyle w:val="ListBullet"/>
      </w:pPr>
      <w:r>
        <w:t>No bearing noise</w:t>
      </w:r>
    </w:p>
    <w:p>
      <w:pPr>
        <w:pStyle w:val="Heading2"/>
      </w:pPr>
      <w:r>
        <w:t>3. Compliance with SOP-MNT-042</w:t>
      </w:r>
    </w:p>
    <w:p>
      <w:pPr>
        <w:pStyle w:val="ListBullet"/>
      </w:pPr>
      <w:r>
        <w:t>The inspection results fall within the acceptable thresholds as defined in SOP-MNT-042. The recorded vibration RMS (2.1 mm/s) and peak frequency (48 Hz) are within the Zone A limits for normal operation.</w:t>
      </w:r>
    </w:p>
    <w:p>
      <w:pPr>
        <w:pStyle w:val="ListBullet"/>
      </w:pPr>
      <w:r>
        <w:t>The oil cleanliness and seal temperature are satisfactory and within the specified limits.</w:t>
      </w:r>
    </w:p>
    <w:p>
      <w:pPr>
        <w:pStyle w:val="Heading2"/>
      </w:pPr>
      <w:r>
        <w:t>4. Conclusion</w:t>
      </w:r>
    </w:p>
    <w:p>
      <w:r>
        <w:t>Based on the inspection results and the criteria outlined in SOP-MNT-042, the pump PMP-7001 is in compliance and can continue to operate within normal parameters.</w:t>
      </w:r>
    </w:p>
    <w:p>
      <w:pPr>
        <w:pStyle w:val="Heading2"/>
      </w:pPr>
      <w:r>
        <w:t>5. Recommendations</w:t>
      </w:r>
    </w:p>
    <w:p>
      <w:pPr>
        <w:pStyle w:val="ListBullet"/>
      </w:pPr>
      <w:r>
        <w:t>Continue routine maintenance practices as per established protocols.</w:t>
      </w:r>
    </w:p>
    <w:p>
      <w:pPr>
        <w:pStyle w:val="ListBullet"/>
      </w:pPr>
      <w:r>
        <w:t>Schedule the next vibration inspection as per the scheduled maintenance schedule.</w:t>
      </w:r>
    </w:p>
    <w:p>
      <w:pPr>
        <w:pStyle w:val="Heading2"/>
      </w:pPr>
      <w:r>
        <w:t>6. Approval</w:t>
      </w:r>
    </w:p>
    <w:p>
      <w:r>
        <w:t>This inspection report and the associated approval are in compliance with the SOP-MNT-042 and SOP-SAF-104.</w:t>
      </w:r>
    </w:p>
    <w:p>
      <w:pPr>
        <w:pStyle w:val="Heading2"/>
      </w:pPr>
      <w:r>
        <w:t>Inspection Approver</w:t>
      </w:r>
    </w:p>
    <w:p>
      <w:r>
        <w:t>[Inspection Approver Name]</w:t>
      </w:r>
    </w:p>
    <w:p>
      <w:r>
        <w:t>[Inspection Approver Title]</w:t>
      </w:r>
    </w:p>
    <w:p>
      <w:r>
        <w:t>[Contact Information]</w:t>
      </w:r>
    </w:p>
    <w:p>
      <w:pPr>
        <w:spacing w:after="80"/>
      </w:pPr>
    </w:p>
    <w:p>
      <w:r>
        <w:rPr>
          <w:b/>
        </w:rPr>
        <w:t>Note:</w:t>
      </w:r>
      <w:r>
        <w:t xml:space="preserve"> This approval is valid until the next scheduled inspection. Any deviation from the normal operating parameters should be addressed immediately and reported for further analysis.</w:t>
      </w:r>
    </w:p>
    <w:p>
      <w:pPr>
        <w:spacing w:after="80"/>
      </w:pPr>
    </w:p>
    <w:p>
      <w:pPr>
        <w:pStyle w:val="Heading2"/>
      </w:pPr>
      <w:r>
        <w:t>End of Approval Note</w:t>
      </w:r>
    </w:p>
    <w:p>
      <w:pPr>
        <w:spacing w:after="80"/>
      </w:pPr>
    </w:p>
    <w:p>
      <w:pPr>
        <w:pStyle w:val="Heading2"/>
      </w:pPr>
      <w:r>
        <w:t>Additional Information</w:t>
      </w:r>
    </w:p>
    <w:p>
      <w:pPr>
        <w:pStyle w:val="ListBullet"/>
      </w:pPr>
      <w:r>
        <w:t>This approval note is prepared based on the SOP-MNT-042: Routine Pump and Turbine Vibration Inspection &amp; Approval Protocol and the SOP-SAF-104: Emergency Isolation and Safety Containment Protocol for High-Pressure Valves.</w:t>
      </w:r>
    </w:p>
    <w:p>
      <w:pPr>
        <w:pStyle w:val="ListBullet"/>
      </w:pPr>
      <w:r>
        <w:t>For any further queries or clarifications, please contact the Lead Reliability Engineer or the Industrial Maintenance &amp; Operations Department.</w:t>
      </w:r>
    </w:p>
    <w:p>
      <w:pPr>
        <w:spacing w:after="80"/>
      </w:pPr>
    </w:p>
    <w:p>
      <w:pPr>
        <w:pStyle w:val="Heading2"/>
      </w:pPr>
      <w:r>
        <w:t>End of Document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7"/>
      </w:rPr>
      <w:t>Generated by Sovereign On-Prem Agentic Workbench —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