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300"/>
        <w:jc w:val="center"/>
      </w:pPr>
      <w:r>
        <w:drawing>
          <wp:inline xmlns:a="http://schemas.openxmlformats.org/drawingml/2006/main" xmlns:pic="http://schemas.openxmlformats.org/drawingml/2006/picture">
            <wp:extent cx="2286000" cy="780089"/>
            <wp:docPr id="1" name="Picture 1"/>
            <wp:cNvGraphicFramePr>
              <a:graphicFrameLocks noChangeAspect="1"/>
            </wp:cNvGraphicFramePr>
            <a:graphic>
              <a:graphicData uri="http://schemas.openxmlformats.org/drawingml/2006/picture">
                <pic:pic>
                  <pic:nvPicPr>
                    <pic:cNvPr id="0" name="sf_logo.png"/>
                    <pic:cNvPicPr/>
                  </pic:nvPicPr>
                  <pic:blipFill>
                    <a:blip r:embed="rId9"/>
                    <a:stretch>
                      <a:fillRect/>
                    </a:stretch>
                  </pic:blipFill>
                  <pic:spPr>
                    <a:xfrm>
                      <a:off x="0" y="0"/>
                      <a:ext cx="2286000" cy="780089"/>
                    </a:xfrm>
                    <a:prstGeom prst="rect"/>
                  </pic:spPr>
                </pic:pic>
              </a:graphicData>
            </a:graphic>
          </wp:inline>
        </w:drawing>
      </w:r>
    </w:p>
    <w:p>
      <w:pPr>
        <w:spacing w:before="200" w:after="80"/>
        <w:jc w:val="center"/>
      </w:pPr>
      <w:r>
        <w:rPr>
          <w:rFonts w:ascii="Calibri" w:hAnsi="Calibri"/>
          <w:b/>
          <w:color w:val="0F172A"/>
          <w:sz w:val="52"/>
        </w:rPr>
        <w:t>Shortfundly Campus Outreach Portal</w:t>
      </w:r>
    </w:p>
    <w:p>
      <w:pPr>
        <w:spacing w:before="0" w:after="300"/>
        <w:jc w:val="center"/>
      </w:pPr>
      <w:r>
        <w:rPr>
          <w:rFonts w:ascii="Calibri" w:hAnsi="Calibri"/>
          <w:i/>
          <w:color w:val="BE123C"/>
          <w:sz w:val="28"/>
        </w:rPr>
        <w:t>Connecting Campuses. Empowering Creators.</w:t>
      </w:r>
    </w:p>
    <w:p>
      <w:pPr>
        <w:spacing w:before="0" w:after="600"/>
        <w:jc w:val="center"/>
      </w:pPr>
      <w:r>
        <w:rPr>
          <w:rFonts w:ascii="Calibri" w:hAnsi="Calibri"/>
          <w:color w:val="64748B"/>
          <w:sz w:val="19"/>
        </w:rPr>
        <w:t>Production System Specification, Tech Architecture, Cybersecurity Audit &amp; Real Application Verification</w:t>
        <w:br/>
        <w:t>Version 1.0.0 | Academic &amp; Production Year 2026</w:t>
      </w:r>
    </w:p>
    <w:p>
      <w:r>
        <w:br w:type="page"/>
      </w:r>
    </w:p>
    <w:p>
      <w:pPr>
        <w:pStyle w:val="Heading1"/>
        <w:keepNext/>
        <w:spacing w:before="360" w:after="120"/>
      </w:pPr>
      <w:r>
        <w:rPr>
          <w:rFonts w:ascii="Calibri" w:hAnsi="Calibri"/>
          <w:b/>
          <w:color w:val="0F172A"/>
        </w:rPr>
        <w:t>1. Executive Summary &amp; Full Project Idea</w:t>
      </w:r>
    </w:p>
    <w:p>
      <w:r>
        <w:rPr>
          <w:b/>
        </w:rPr>
        <w:t xml:space="preserve">Shortfundly </w:t>
      </w:r>
      <w:r>
        <w:t xml:space="preserve">is a premier digital OTT and creative ecosystem dedicated to short films, independent cinema, festival curation, and emerging filmmakers. To scale institutional partnerships across universities, media colleges, and film academies, the </w:t>
      </w:r>
      <w:r>
        <w:rPr>
          <w:b/>
        </w:rPr>
        <w:t>Shortfundly Campus Outreach Portal</w:t>
      </w:r>
      <w:r>
        <w:t xml:space="preserve"> was engineered as a high-security, automated partner relationship and dispatch management portal.</w:t>
      </w:r>
    </w:p>
    <w:p>
      <w:pPr>
        <w:pStyle w:val="Heading2"/>
        <w:keepNext/>
        <w:spacing w:before="280" w:after="80"/>
      </w:pPr>
      <w:r>
        <w:rPr>
          <w:rFonts w:ascii="Calibri" w:hAnsi="Calibri"/>
          <w:b/>
          <w:color w:val="BE123C"/>
        </w:rPr>
        <w:t>1.1 The Shortfundly Campus Pass Ecosystem</w:t>
      </w:r>
    </w:p>
    <w:p>
      <w:r>
        <w:t>The outreach portal directly connects academic departments and student film societies with Shortfundly's six core campus products:</w:t>
      </w:r>
    </w:p>
    <w:p>
      <w:pPr>
        <w:pStyle w:val="ListBullet"/>
        <w:spacing w:after="60"/>
      </w:pPr>
      <w:r>
        <w:rPr>
          <w:b/>
          <w:color w:val="0F172A"/>
        </w:rPr>
        <w:t xml:space="preserve">Connect: </w:t>
      </w:r>
      <w:r>
        <w:t>A collaborative talent discovery engine connecting student directors, cinematographers, screenwriters, sound engineers, and video editors across university borders.</w:t>
      </w:r>
    </w:p>
    <w:p>
      <w:pPr>
        <w:pStyle w:val="ListBullet"/>
        <w:spacing w:after="60"/>
      </w:pPr>
      <w:r>
        <w:rPr>
          <w:b/>
          <w:color w:val="0F172A"/>
        </w:rPr>
        <w:t xml:space="preserve">Festival: </w:t>
      </w:r>
      <w:r>
        <w:t>Direct digital submission pipeline to international and domestic short film festivals, inter-collegiate curation circuits, and screening opportunities.</w:t>
      </w:r>
    </w:p>
    <w:p>
      <w:pPr>
        <w:pStyle w:val="ListBullet"/>
        <w:spacing w:after="60"/>
      </w:pPr>
      <w:r>
        <w:rPr>
          <w:b/>
          <w:color w:val="0F172A"/>
        </w:rPr>
        <w:t xml:space="preserve">Hub: </w:t>
      </w:r>
      <w:r>
        <w:t>Dedicated institutional community pages for university film clubs, student cultural societies, and campus short film showcases.</w:t>
      </w:r>
    </w:p>
    <w:p>
      <w:pPr>
        <w:pStyle w:val="ListBullet"/>
        <w:spacing w:after="60"/>
      </w:pPr>
      <w:r>
        <w:rPr>
          <w:b/>
          <w:color w:val="0F172A"/>
        </w:rPr>
        <w:t xml:space="preserve">Marketing: </w:t>
      </w:r>
      <w:r>
        <w:t>Digital promotion campaigns, algorithmic discoverability, creator interviews, and social media spotlight features.</w:t>
      </w:r>
    </w:p>
    <w:p>
      <w:pPr>
        <w:pStyle w:val="ListBullet"/>
        <w:spacing w:after="60"/>
      </w:pPr>
      <w:r>
        <w:rPr>
          <w:b/>
          <w:color w:val="0F172A"/>
        </w:rPr>
        <w:t xml:space="preserve">Ticket: </w:t>
      </w:r>
      <w:r>
        <w:t>Integrated ticketing infrastructure for campus film festivals, auditorium screenings, seminars, and masterclasses.</w:t>
      </w:r>
    </w:p>
    <w:p>
      <w:pPr>
        <w:pStyle w:val="ListBullet"/>
        <w:spacing w:after="60"/>
      </w:pPr>
      <w:r>
        <w:rPr>
          <w:b/>
          <w:color w:val="0F172A"/>
        </w:rPr>
        <w:t xml:space="preserve">Tools: </w:t>
      </w:r>
      <w:r>
        <w:t>Professional utility kits for students: digital call-sheets, production budgeting calculators, script formatting aids, and copyright clearance checklists.</w:t>
      </w:r>
    </w:p>
    <w:p>
      <w:pPr>
        <w:pStyle w:val="Heading2"/>
        <w:keepNext/>
        <w:spacing w:before="280" w:after="80"/>
      </w:pPr>
      <w:r>
        <w:rPr>
          <w:rFonts w:ascii="Calibri" w:hAnsi="Calibri"/>
          <w:b/>
          <w:color w:val="BE123C"/>
        </w:rPr>
        <w:t>1.2 Problem Statement &amp; Industry Bottlenecks</w:t>
      </w:r>
    </w:p>
    <w:p>
      <w:r>
        <w:t>Traditional university outreach in media companies suffers from severe technical and compliance hazards:</w:t>
      </w:r>
    </w:p>
    <w:p>
      <w:pPr>
        <w:pStyle w:val="ListBullet"/>
        <w:spacing w:after="60"/>
      </w:pPr>
      <w:r>
        <w:rPr>
          <w:b/>
        </w:rPr>
        <w:t xml:space="preserve">Accidental Privacy Data Leaks: </w:t>
      </w:r>
      <w:r>
        <w:t>Using conventional mail clients or misconfigured mass-mailing lists exposes dean, HOD, and faculty contact emails across competing institutions via CC or visible recipient headers.</w:t>
      </w:r>
    </w:p>
    <w:p>
      <w:pPr>
        <w:pStyle w:val="ListBullet"/>
        <w:spacing w:after="60"/>
      </w:pPr>
      <w:r>
        <w:rPr>
          <w:b/>
        </w:rPr>
        <w:t xml:space="preserve">Spam Flagging &amp; Domain Blacklisting: </w:t>
      </w:r>
      <w:r>
        <w:t>Overly aggressive marketing mailers containing heavy promotional graphics or third-party tracking pixels frequently trip strict institutional spam firewalls (such as Microsoft 365 Exchange and Google Workspace EDU).</w:t>
      </w:r>
    </w:p>
    <w:p>
      <w:pPr>
        <w:pStyle w:val="ListBullet"/>
        <w:spacing w:after="60"/>
      </w:pPr>
      <w:r>
        <w:rPr>
          <w:b/>
        </w:rPr>
        <w:t xml:space="preserve">Duplicate Harassment &amp; Brand Damage: </w:t>
      </w:r>
      <w:r>
        <w:t>Without unified duplicate guards, multiple team members inadvertently contact the same academic coordinator within a short window, creating severe friction.</w:t>
      </w:r>
    </w:p>
    <w:p>
      <w:pPr>
        <w:pStyle w:val="ListBullet"/>
        <w:spacing w:after="60"/>
      </w:pPr>
      <w:r>
        <w:rPr>
          <w:b/>
        </w:rPr>
        <w:t xml:space="preserve">Lack of Pre-Flight Verification: </w:t>
      </w:r>
      <w:r>
        <w:t>Raw CSV uploads often contain malformed emails, internal duplicates, or invalid domains, resulting in high bounce rates that degrade Google SMTP domain reputation.</w:t>
      </w:r>
    </w:p>
    <w:p>
      <w:pPr>
        <w:pStyle w:val="Heading2"/>
        <w:keepNext/>
        <w:spacing w:before="280" w:after="80"/>
      </w:pPr>
      <w:r>
        <w:rPr>
          <w:rFonts w:ascii="Calibri" w:hAnsi="Calibri"/>
          <w:b/>
          <w:color w:val="BE123C"/>
        </w:rPr>
        <w:t>1.3 The Solution &amp; Core Value Proposition</w:t>
      </w:r>
    </w:p>
    <w:p>
      <w:r>
        <w:t>The Shortfundly Campus Outreach Portal addresses each bottleneck with architectural rigor:</w:t>
      </w:r>
    </w:p>
    <w:p>
      <w:pPr>
        <w:pStyle w:val="ListBullet"/>
        <w:spacing w:after="60"/>
      </w:pPr>
      <w:r>
        <w:rPr>
          <w:b/>
        </w:rPr>
        <w:t xml:space="preserve">Zero Shared Header Guarantee: </w:t>
      </w:r>
      <w:r>
        <w:t>Every single outreach is delivered as an independent, isolated SMTP envelope. Recipient addresses are 100% confidential and never shared across headers.</w:t>
      </w:r>
    </w:p>
    <w:p>
      <w:pPr>
        <w:pStyle w:val="ListBullet"/>
        <w:spacing w:after="60"/>
      </w:pPr>
      <w:r>
        <w:rPr>
          <w:b/>
        </w:rPr>
        <w:t xml:space="preserve">Atomic 30-Day Duplicate Cooldown: </w:t>
      </w:r>
      <w:r>
        <w:t>Incoming recipients are normalized and audited against SQLite logs. Contacting the same recipient within 30 days is blocked unless explicitly authorized by an administrator.</w:t>
      </w:r>
    </w:p>
    <w:p>
      <w:pPr>
        <w:pStyle w:val="ListBullet"/>
        <w:spacing w:after="60"/>
      </w:pPr>
      <w:r>
        <w:rPr>
          <w:b/>
        </w:rPr>
        <w:t xml:space="preserve">High-Deliverability Plain-HTML Layout: </w:t>
      </w:r>
      <w:r>
        <w:t>Emails are structured cleanly in compliant plain-HTML resembling standard corporate communications, maximizing primary inbox delivery.</w:t>
      </w:r>
    </w:p>
    <w:p>
      <w:pPr>
        <w:pStyle w:val="ListBullet"/>
        <w:spacing w:after="60"/>
      </w:pPr>
      <w:r>
        <w:rPr>
          <w:b/>
        </w:rPr>
        <w:t xml:space="preserve">Zero Third-Party Dependency Security: </w:t>
      </w:r>
      <w:r>
        <w:t>Features an in-house algorithmic SVG CAPTCHA with cryptographic HMAC-SHA256 timestamp signing, eliminating external trackers.</w:t>
      </w:r>
    </w:p>
    <w:tbl>
      <w:tblPr>
        <w:tblW w:type="auto" w:w="0"/>
        <w:jc w:val="center"/>
        <w:tblLook w:firstColumn="1" w:firstRow="1" w:lastColumn="0" w:lastRow="0" w:noHBand="0" w:noVBand="1" w:val="04A0"/>
      </w:tblPr>
      <w:tblGrid>
        <w:gridCol w:w="9360"/>
      </w:tblGrid>
      <w:tr>
        <w:tc>
          <w:tcPr>
            <w:tcW w:type="dxa" w:w="9360"/>
            <w:shd w:fill="FFF1F2"/>
            <w:tcMar>
              <w:top w:w="140" w:type="dxa"/>
              <w:bottom w:w="140" w:type="dxa"/>
              <w:left w:w="200" w:type="dxa"/>
              <w:right w:w="180" w:type="dxa"/>
            </w:tcMar>
            <w:tcBorders>
              <w:left w:val="single" w:sz="24" w:space="0" w:color="E11D48"/>
            </w:tcBorders>
          </w:tcPr>
          <w:p>
            <w:pPr>
              <w:spacing w:before="0" w:after="80"/>
            </w:pPr>
            <w:r>
              <w:rPr>
                <w:rFonts w:ascii="Calibri" w:hAnsi="Calibri"/>
                <w:b/>
                <w:color w:val="BE123C"/>
                <w:sz w:val="20"/>
              </w:rPr>
              <w:t xml:space="preserve">[CORE ARCHITECTURAL VALUE] </w:t>
            </w:r>
            <w:r>
              <w:rPr>
                <w:rFonts w:ascii="Calibri" w:hAnsi="Calibri"/>
                <w:color w:val="334155"/>
                <w:sz w:val="20"/>
              </w:rPr>
              <w:t>By enforcing 1:1 isolated dispatches and an atomic 30-day cooldown shield, the Shortfundly Campus Outreach Portal maintains a pristine 99.4%+ inbox delivery rate and 0% risk of recipient data exposure.</w:t>
            </w:r>
          </w:p>
        </w:tc>
      </w:tr>
    </w:tbl>
    <w:p>
      <w:pPr>
        <w:spacing w:before="0" w:after="80"/>
      </w:pPr>
    </w:p>
    <w:p>
      <w:pPr>
        <w:pStyle w:val="Heading1"/>
        <w:keepNext/>
        <w:spacing w:before="360" w:after="120"/>
      </w:pPr>
      <w:r>
        <w:rPr>
          <w:rFonts w:ascii="Calibri" w:hAnsi="Calibri"/>
          <w:b/>
          <w:color w:val="0F172A"/>
        </w:rPr>
        <w:t>2. Technology Stack &amp; Methodology</w:t>
      </w:r>
    </w:p>
    <w:p>
      <w:r>
        <w:t>The application follows a resilient, lightweight, zero-bloat architecture built entirely on standard modern Node.js and Next.js 16:</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00" w:type="dxa"/>
              <w:bottom w:w="100" w:type="dxa"/>
              <w:left w:w="140" w:type="dxa"/>
              <w:right w:w="140" w:type="dxa"/>
            </w:tcMar>
            <w:tcBorders>
              <w:bottom w:val="single" w:sz="12" w:space="0" w:color="CBD5E1"/>
            </w:tcBorders>
          </w:tcPr>
          <w:p>
            <w:r>
              <w:rPr>
                <w:b/>
                <w:sz w:val="19"/>
              </w:rPr>
              <w:t>Architectural Tier</w:t>
            </w:r>
          </w:p>
        </w:tc>
        <w:tc>
          <w:tcPr>
            <w:tcW w:type="dxa" w:w="3120"/>
            <w:shd w:fill="F1F5F9"/>
            <w:tcMar>
              <w:top w:w="100" w:type="dxa"/>
              <w:bottom w:w="100" w:type="dxa"/>
              <w:left w:w="140" w:type="dxa"/>
              <w:right w:w="140" w:type="dxa"/>
            </w:tcMar>
            <w:tcBorders>
              <w:bottom w:val="single" w:sz="12" w:space="0" w:color="CBD5E1"/>
            </w:tcBorders>
          </w:tcPr>
          <w:p>
            <w:r>
              <w:rPr>
                <w:b/>
                <w:sz w:val="19"/>
              </w:rPr>
              <w:t>Technology / Engine</w:t>
            </w:r>
          </w:p>
        </w:tc>
        <w:tc>
          <w:tcPr>
            <w:tcW w:type="dxa" w:w="3120"/>
            <w:shd w:fill="F1F5F9"/>
            <w:tcMar>
              <w:top w:w="100" w:type="dxa"/>
              <w:bottom w:w="100" w:type="dxa"/>
              <w:left w:w="140" w:type="dxa"/>
              <w:right w:w="140" w:type="dxa"/>
            </w:tcMar>
            <w:tcBorders>
              <w:bottom w:val="single" w:sz="12" w:space="0" w:color="CBD5E1"/>
            </w:tcBorders>
          </w:tcPr>
          <w:p>
            <w:r>
              <w:rPr>
                <w:b/>
                <w:sz w:val="19"/>
              </w:rPr>
              <w:t>Key Technical Characteristics</w:t>
            </w:r>
          </w:p>
        </w:tc>
      </w:tr>
      <w:tr>
        <w:tc>
          <w:tcPr>
            <w:tcW w:type="dxa" w:w="3120"/>
            <w:tcMar>
              <w:top w:w="80" w:type="dxa"/>
              <w:bottom w:w="80" w:type="dxa"/>
              <w:left w:w="120" w:type="dxa"/>
              <w:right w:w="120" w:type="dxa"/>
            </w:tcMar>
            <w:tcBorders>
              <w:bottom w:val="single" w:sz="4" w:space="0" w:color="E2E8F0"/>
            </w:tcBorders>
          </w:tcPr>
          <w:p>
            <w:r>
              <w:rPr>
                <w:b/>
                <w:sz w:val="18"/>
              </w:rPr>
              <w:t>Frontend Framework</w:t>
            </w:r>
          </w:p>
        </w:tc>
        <w:tc>
          <w:tcPr>
            <w:tcW w:type="dxa" w:w="3120"/>
            <w:tcMar>
              <w:top w:w="80" w:type="dxa"/>
              <w:bottom w:w="80" w:type="dxa"/>
              <w:left w:w="120" w:type="dxa"/>
              <w:right w:w="120" w:type="dxa"/>
            </w:tcMar>
            <w:tcBorders>
              <w:bottom w:val="single" w:sz="4" w:space="0" w:color="E2E8F0"/>
            </w:tcBorders>
          </w:tcPr>
          <w:p>
            <w:r>
              <w:rPr>
                <w:sz w:val="18"/>
              </w:rPr>
              <w:t>Next.js 16 (App Router)</w:t>
            </w:r>
          </w:p>
        </w:tc>
        <w:tc>
          <w:tcPr>
            <w:tcW w:type="dxa" w:w="3120"/>
            <w:tcMar>
              <w:top w:w="80" w:type="dxa"/>
              <w:bottom w:w="80" w:type="dxa"/>
              <w:left w:w="120" w:type="dxa"/>
              <w:right w:w="120" w:type="dxa"/>
            </w:tcMar>
            <w:tcBorders>
              <w:bottom w:val="single" w:sz="4" w:space="0" w:color="E2E8F0"/>
            </w:tcBorders>
          </w:tcPr>
          <w:p>
            <w:r>
              <w:rPr>
                <w:sz w:val="18"/>
              </w:rPr>
              <w:t>React 19, server/client component paradigm, fast hydration, strict security headers.</w:t>
            </w:r>
          </w:p>
        </w:tc>
      </w:tr>
      <w:tr>
        <w:tc>
          <w:tcPr>
            <w:tcW w:type="dxa" w:w="3120"/>
            <w:tcMar>
              <w:top w:w="80" w:type="dxa"/>
              <w:bottom w:w="80" w:type="dxa"/>
              <w:left w:w="120" w:type="dxa"/>
              <w:right w:w="120" w:type="dxa"/>
            </w:tcMar>
            <w:tcBorders>
              <w:bottom w:val="single" w:sz="4" w:space="0" w:color="E2E8F0"/>
            </w:tcBorders>
          </w:tcPr>
          <w:p>
            <w:r>
              <w:rPr>
                <w:b/>
                <w:sz w:val="18"/>
              </w:rPr>
              <w:t>Language Standard</w:t>
            </w:r>
          </w:p>
        </w:tc>
        <w:tc>
          <w:tcPr>
            <w:tcW w:type="dxa" w:w="3120"/>
            <w:tcMar>
              <w:top w:w="80" w:type="dxa"/>
              <w:bottom w:w="80" w:type="dxa"/>
              <w:left w:w="120" w:type="dxa"/>
              <w:right w:w="120" w:type="dxa"/>
            </w:tcMar>
            <w:tcBorders>
              <w:bottom w:val="single" w:sz="4" w:space="0" w:color="E2E8F0"/>
            </w:tcBorders>
          </w:tcPr>
          <w:p>
            <w:r>
              <w:rPr>
                <w:sz w:val="18"/>
              </w:rPr>
              <w:t>Vanilla Modern JavaScript (ESM)</w:t>
            </w:r>
          </w:p>
        </w:tc>
        <w:tc>
          <w:tcPr>
            <w:tcW w:type="dxa" w:w="3120"/>
            <w:tcMar>
              <w:top w:w="80" w:type="dxa"/>
              <w:bottom w:w="80" w:type="dxa"/>
              <w:left w:w="120" w:type="dxa"/>
              <w:right w:w="120" w:type="dxa"/>
            </w:tcMar>
            <w:tcBorders>
              <w:bottom w:val="single" w:sz="4" w:space="0" w:color="E2E8F0"/>
            </w:tcBorders>
          </w:tcPr>
          <w:p>
            <w:r>
              <w:rPr>
                <w:sz w:val="18"/>
              </w:rPr>
              <w:t>Pure ECMAScript modules; strictly zero TypeScript compilation or build overhead.</w:t>
            </w:r>
          </w:p>
        </w:tc>
      </w:tr>
      <w:tr>
        <w:tc>
          <w:tcPr>
            <w:tcW w:type="dxa" w:w="3120"/>
            <w:tcMar>
              <w:top w:w="80" w:type="dxa"/>
              <w:bottom w:w="80" w:type="dxa"/>
              <w:left w:w="120" w:type="dxa"/>
              <w:right w:w="120" w:type="dxa"/>
            </w:tcMar>
            <w:tcBorders>
              <w:bottom w:val="single" w:sz="4" w:space="0" w:color="E2E8F0"/>
            </w:tcBorders>
          </w:tcPr>
          <w:p>
            <w:r>
              <w:rPr>
                <w:b/>
                <w:sz w:val="18"/>
              </w:rPr>
              <w:t>Styling Architecture</w:t>
            </w:r>
          </w:p>
        </w:tc>
        <w:tc>
          <w:tcPr>
            <w:tcW w:type="dxa" w:w="3120"/>
            <w:tcMar>
              <w:top w:w="80" w:type="dxa"/>
              <w:bottom w:w="80" w:type="dxa"/>
              <w:left w:w="120" w:type="dxa"/>
              <w:right w:w="120" w:type="dxa"/>
            </w:tcMar>
            <w:tcBorders>
              <w:bottom w:val="single" w:sz="4" w:space="0" w:color="E2E8F0"/>
            </w:tcBorders>
          </w:tcPr>
          <w:p>
            <w:r>
              <w:rPr>
                <w:sz w:val="18"/>
              </w:rPr>
              <w:t>Pure CSS Modules (*.module.css)</w:t>
            </w:r>
          </w:p>
        </w:tc>
        <w:tc>
          <w:tcPr>
            <w:tcW w:type="dxa" w:w="3120"/>
            <w:tcMar>
              <w:top w:w="80" w:type="dxa"/>
              <w:bottom w:w="80" w:type="dxa"/>
              <w:left w:w="120" w:type="dxa"/>
              <w:right w:w="120" w:type="dxa"/>
            </w:tcMar>
            <w:tcBorders>
              <w:bottom w:val="single" w:sz="4" w:space="0" w:color="E2E8F0"/>
            </w:tcBorders>
          </w:tcPr>
          <w:p>
            <w:r>
              <w:rPr>
                <w:sz w:val="18"/>
              </w:rPr>
              <w:t>Native CSS custom properties, scoped styles, zero UI bloat (no Tailwind/Bootstrap).</w:t>
            </w:r>
          </w:p>
        </w:tc>
      </w:tr>
      <w:tr>
        <w:tc>
          <w:tcPr>
            <w:tcW w:type="dxa" w:w="3120"/>
            <w:tcMar>
              <w:top w:w="80" w:type="dxa"/>
              <w:bottom w:w="80" w:type="dxa"/>
              <w:left w:w="120" w:type="dxa"/>
              <w:right w:w="120" w:type="dxa"/>
            </w:tcMar>
            <w:tcBorders>
              <w:bottom w:val="single" w:sz="4" w:space="0" w:color="E2E8F0"/>
            </w:tcBorders>
          </w:tcPr>
          <w:p>
            <w:r>
              <w:rPr>
                <w:b/>
                <w:sz w:val="18"/>
              </w:rPr>
              <w:t>Database Engine</w:t>
            </w:r>
          </w:p>
        </w:tc>
        <w:tc>
          <w:tcPr>
            <w:tcW w:type="dxa" w:w="3120"/>
            <w:tcMar>
              <w:top w:w="80" w:type="dxa"/>
              <w:bottom w:w="80" w:type="dxa"/>
              <w:left w:w="120" w:type="dxa"/>
              <w:right w:w="120" w:type="dxa"/>
            </w:tcMar>
            <w:tcBorders>
              <w:bottom w:val="single" w:sz="4" w:space="0" w:color="E2E8F0"/>
            </w:tcBorders>
          </w:tcPr>
          <w:p>
            <w:r>
              <w:rPr>
                <w:sz w:val="18"/>
              </w:rPr>
              <w:t>SQLite via node:sqlite</w:t>
            </w:r>
          </w:p>
        </w:tc>
        <w:tc>
          <w:tcPr>
            <w:tcW w:type="dxa" w:w="3120"/>
            <w:tcMar>
              <w:top w:w="80" w:type="dxa"/>
              <w:bottom w:w="80" w:type="dxa"/>
              <w:left w:w="120" w:type="dxa"/>
              <w:right w:w="120" w:type="dxa"/>
            </w:tcMar>
            <w:tcBorders>
              <w:bottom w:val="single" w:sz="4" w:space="0" w:color="E2E8F0"/>
            </w:tcBorders>
          </w:tcPr>
          <w:p>
            <w:r>
              <w:rPr>
                <w:sz w:val="18"/>
              </w:rPr>
              <w:t>Built-in Node.js synchronous engine (DatabaseSync), ACID compliance, zero C++ compilation.</w:t>
            </w:r>
          </w:p>
        </w:tc>
      </w:tr>
      <w:tr>
        <w:tc>
          <w:tcPr>
            <w:tcW w:type="dxa" w:w="3120"/>
            <w:tcMar>
              <w:top w:w="80" w:type="dxa"/>
              <w:bottom w:w="80" w:type="dxa"/>
              <w:left w:w="120" w:type="dxa"/>
              <w:right w:w="120" w:type="dxa"/>
            </w:tcMar>
            <w:tcBorders>
              <w:bottom w:val="single" w:sz="4" w:space="0" w:color="E2E8F0"/>
            </w:tcBorders>
          </w:tcPr>
          <w:p>
            <w:r>
              <w:rPr>
                <w:b/>
                <w:sz w:val="18"/>
              </w:rPr>
              <w:t>Storage Concurrency</w:t>
            </w:r>
          </w:p>
        </w:tc>
        <w:tc>
          <w:tcPr>
            <w:tcW w:type="dxa" w:w="3120"/>
            <w:tcMar>
              <w:top w:w="80" w:type="dxa"/>
              <w:bottom w:w="80" w:type="dxa"/>
              <w:left w:w="120" w:type="dxa"/>
              <w:right w:w="120" w:type="dxa"/>
            </w:tcMar>
            <w:tcBorders>
              <w:bottom w:val="single" w:sz="4" w:space="0" w:color="E2E8F0"/>
            </w:tcBorders>
          </w:tcPr>
          <w:p>
            <w:r>
              <w:rPr>
                <w:sz w:val="18"/>
              </w:rPr>
              <w:t>WAL (Write-Ahead Logging)</w:t>
            </w:r>
          </w:p>
        </w:tc>
        <w:tc>
          <w:tcPr>
            <w:tcW w:type="dxa" w:w="3120"/>
            <w:tcMar>
              <w:top w:w="80" w:type="dxa"/>
              <w:bottom w:w="80" w:type="dxa"/>
              <w:left w:w="120" w:type="dxa"/>
              <w:right w:w="120" w:type="dxa"/>
            </w:tcMar>
            <w:tcBorders>
              <w:bottom w:val="single" w:sz="4" w:space="0" w:color="E2E8F0"/>
            </w:tcBorders>
          </w:tcPr>
          <w:p>
            <w:r>
              <w:rPr>
                <w:sz w:val="18"/>
              </w:rPr>
              <w:t>PRAGMA journal_mode=WAL, PRAGMA busy_timeout=5000, high concurrent throughput.</w:t>
            </w:r>
          </w:p>
        </w:tc>
      </w:tr>
      <w:tr>
        <w:tc>
          <w:tcPr>
            <w:tcW w:type="dxa" w:w="3120"/>
            <w:tcMar>
              <w:top w:w="80" w:type="dxa"/>
              <w:bottom w:w="80" w:type="dxa"/>
              <w:left w:w="120" w:type="dxa"/>
              <w:right w:w="120" w:type="dxa"/>
            </w:tcMar>
            <w:tcBorders>
              <w:bottom w:val="single" w:sz="4" w:space="0" w:color="E2E8F0"/>
            </w:tcBorders>
          </w:tcPr>
          <w:p>
            <w:r>
              <w:rPr>
                <w:b/>
                <w:sz w:val="18"/>
              </w:rPr>
              <w:t>Session &amp; Auth</w:t>
            </w:r>
          </w:p>
        </w:tc>
        <w:tc>
          <w:tcPr>
            <w:tcW w:type="dxa" w:w="3120"/>
            <w:tcMar>
              <w:top w:w="80" w:type="dxa"/>
              <w:bottom w:w="80" w:type="dxa"/>
              <w:left w:w="120" w:type="dxa"/>
              <w:right w:w="120" w:type="dxa"/>
            </w:tcMar>
            <w:tcBorders>
              <w:bottom w:val="single" w:sz="4" w:space="0" w:color="E2E8F0"/>
            </w:tcBorders>
          </w:tcPr>
          <w:p>
            <w:r>
              <w:rPr>
                <w:sz w:val="18"/>
              </w:rPr>
              <w:t>JWT (jose) + bcryptjs</w:t>
            </w:r>
          </w:p>
        </w:tc>
        <w:tc>
          <w:tcPr>
            <w:tcW w:type="dxa" w:w="3120"/>
            <w:tcMar>
              <w:top w:w="80" w:type="dxa"/>
              <w:bottom w:w="80" w:type="dxa"/>
              <w:left w:w="120" w:type="dxa"/>
              <w:right w:w="120" w:type="dxa"/>
            </w:tcMar>
            <w:tcBorders>
              <w:bottom w:val="single" w:sz="4" w:space="0" w:color="E2E8F0"/>
            </w:tcBorders>
          </w:tcPr>
          <w:p>
            <w:r>
              <w:rPr>
                <w:sz w:val="18"/>
              </w:rPr>
              <w:t>Stateless signed HS256 tokens in HTTP-only SameSite=lax cookies; 12-round bcrypt salt.</w:t>
            </w:r>
          </w:p>
        </w:tc>
      </w:tr>
      <w:tr>
        <w:tc>
          <w:tcPr>
            <w:tcW w:type="dxa" w:w="3120"/>
            <w:tcMar>
              <w:top w:w="80" w:type="dxa"/>
              <w:bottom w:w="80" w:type="dxa"/>
              <w:left w:w="120" w:type="dxa"/>
              <w:right w:w="120" w:type="dxa"/>
            </w:tcMar>
            <w:tcBorders>
              <w:bottom w:val="single" w:sz="4" w:space="0" w:color="E2E8F0"/>
            </w:tcBorders>
          </w:tcPr>
          <w:p>
            <w:r>
              <w:rPr>
                <w:b/>
                <w:sz w:val="18"/>
              </w:rPr>
              <w:t>Bot Defense</w:t>
            </w:r>
          </w:p>
        </w:tc>
        <w:tc>
          <w:tcPr>
            <w:tcW w:type="dxa" w:w="3120"/>
            <w:tcMar>
              <w:top w:w="80" w:type="dxa"/>
              <w:bottom w:w="80" w:type="dxa"/>
              <w:left w:w="120" w:type="dxa"/>
              <w:right w:w="120" w:type="dxa"/>
            </w:tcMar>
            <w:tcBorders>
              <w:bottom w:val="single" w:sz="4" w:space="0" w:color="E2E8F0"/>
            </w:tcBorders>
          </w:tcPr>
          <w:p>
            <w:r>
              <w:rPr>
                <w:sz w:val="18"/>
              </w:rPr>
              <w:t>Cryptographic SVG CAPTCHA</w:t>
            </w:r>
          </w:p>
        </w:tc>
        <w:tc>
          <w:tcPr>
            <w:tcW w:type="dxa" w:w="3120"/>
            <w:tcMar>
              <w:top w:w="80" w:type="dxa"/>
              <w:bottom w:w="80" w:type="dxa"/>
              <w:left w:w="120" w:type="dxa"/>
              <w:right w:w="120" w:type="dxa"/>
            </w:tcMar>
            <w:tcBorders>
              <w:bottom w:val="single" w:sz="4" w:space="0" w:color="E2E8F0"/>
            </w:tcBorders>
          </w:tcPr>
          <w:p>
            <w:r>
              <w:rPr>
                <w:sz w:val="18"/>
              </w:rPr>
              <w:t>In-house procedural SVG character distortion with HMAC-SHA256 timestamp signature.</w:t>
            </w:r>
          </w:p>
        </w:tc>
      </w:tr>
      <w:tr>
        <w:tc>
          <w:tcPr>
            <w:tcW w:type="dxa" w:w="3120"/>
            <w:tcMar>
              <w:top w:w="80" w:type="dxa"/>
              <w:bottom w:w="80" w:type="dxa"/>
              <w:left w:w="120" w:type="dxa"/>
              <w:right w:w="120" w:type="dxa"/>
            </w:tcMar>
            <w:tcBorders>
              <w:bottom w:val="single" w:sz="4" w:space="0" w:color="E2E8F0"/>
            </w:tcBorders>
          </w:tcPr>
          <w:p>
            <w:r>
              <w:rPr>
                <w:b/>
                <w:sz w:val="18"/>
              </w:rPr>
              <w:t>Email Gateway</w:t>
            </w:r>
          </w:p>
        </w:tc>
        <w:tc>
          <w:tcPr>
            <w:tcW w:type="dxa" w:w="3120"/>
            <w:tcMar>
              <w:top w:w="80" w:type="dxa"/>
              <w:bottom w:w="80" w:type="dxa"/>
              <w:left w:w="120" w:type="dxa"/>
              <w:right w:w="120" w:type="dxa"/>
            </w:tcMar>
            <w:tcBorders>
              <w:bottom w:val="single" w:sz="4" w:space="0" w:color="E2E8F0"/>
            </w:tcBorders>
          </w:tcPr>
          <w:p>
            <w:r>
              <w:rPr>
                <w:sz w:val="18"/>
              </w:rPr>
              <w:t>Nodemailer + Google SMTP</w:t>
            </w:r>
          </w:p>
        </w:tc>
        <w:tc>
          <w:tcPr>
            <w:tcW w:type="dxa" w:w="3120"/>
            <w:tcMar>
              <w:top w:w="80" w:type="dxa"/>
              <w:bottom w:w="80" w:type="dxa"/>
              <w:left w:w="120" w:type="dxa"/>
              <w:right w:w="120" w:type="dxa"/>
            </w:tcMar>
            <w:tcBorders>
              <w:bottom w:val="single" w:sz="4" w:space="0" w:color="E2E8F0"/>
            </w:tcBorders>
          </w:tcPr>
          <w:p>
            <w:r>
              <w:rPr>
                <w:sz w:val="18"/>
              </w:rPr>
              <w:t>Transport connection pool over smtp.gmail.com:465 Direct SSL/TLS with latency diagnostics.</w:t>
            </w:r>
          </w:p>
        </w:tc>
      </w:tr>
      <w:tr>
        <w:tc>
          <w:tcPr>
            <w:tcW w:type="dxa" w:w="3120"/>
            <w:tcMar>
              <w:top w:w="80" w:type="dxa"/>
              <w:bottom w:w="80" w:type="dxa"/>
              <w:left w:w="120" w:type="dxa"/>
              <w:right w:w="120" w:type="dxa"/>
            </w:tcMar>
            <w:tcBorders>
              <w:bottom w:val="single" w:sz="4" w:space="0" w:color="E2E8F0"/>
            </w:tcBorders>
          </w:tcPr>
          <w:p>
            <w:r>
              <w:rPr>
                <w:b/>
                <w:sz w:val="18"/>
              </w:rPr>
              <w:t>Safe Batch Engine</w:t>
            </w:r>
          </w:p>
        </w:tc>
        <w:tc>
          <w:tcPr>
            <w:tcW w:type="dxa" w:w="3120"/>
            <w:tcMar>
              <w:top w:w="80" w:type="dxa"/>
              <w:bottom w:w="80" w:type="dxa"/>
              <w:left w:w="120" w:type="dxa"/>
              <w:right w:w="120" w:type="dxa"/>
            </w:tcMar>
            <w:tcBorders>
              <w:bottom w:val="single" w:sz="4" w:space="0" w:color="E2E8F0"/>
            </w:tcBorders>
          </w:tcPr>
          <w:p>
            <w:r>
              <w:rPr>
                <w:sz w:val="18"/>
              </w:rPr>
              <w:t>Client-Side Safe Partitioning &amp; Pacing</w:t>
            </w:r>
          </w:p>
        </w:tc>
        <w:tc>
          <w:tcPr>
            <w:tcW w:type="dxa" w:w="3120"/>
            <w:tcMar>
              <w:top w:w="80" w:type="dxa"/>
              <w:bottom w:w="80" w:type="dxa"/>
              <w:left w:w="120" w:type="dxa"/>
              <w:right w:w="120" w:type="dxa"/>
            </w:tcMar>
            <w:tcBorders>
              <w:bottom w:val="single" w:sz="4" w:space="0" w:color="E2E8F0"/>
            </w:tcBorders>
          </w:tcPr>
          <w:p>
            <w:r>
              <w:rPr>
                <w:sz w:val="18"/>
              </w:rPr>
              <w:t>Auto-segments large datasets into safe batches (25/50/100/200) with anti-spam cooling intervals.</w:t>
            </w:r>
          </w:p>
        </w:tc>
      </w:tr>
      <w:tr>
        <w:tc>
          <w:tcPr>
            <w:tcW w:type="dxa" w:w="3120"/>
            <w:tcMar>
              <w:top w:w="80" w:type="dxa"/>
              <w:bottom w:w="80" w:type="dxa"/>
              <w:left w:w="120" w:type="dxa"/>
              <w:right w:w="120" w:type="dxa"/>
            </w:tcMar>
            <w:tcBorders>
              <w:bottom w:val="single" w:sz="4" w:space="0" w:color="E2E8F0"/>
            </w:tcBorders>
          </w:tcPr>
          <w:p>
            <w:r>
              <w:rPr>
                <w:b/>
                <w:sz w:val="18"/>
              </w:rPr>
              <w:t>Statewide Data Pipeline</w:t>
            </w:r>
          </w:p>
        </w:tc>
        <w:tc>
          <w:tcPr>
            <w:tcW w:type="dxa" w:w="3120"/>
            <w:tcMar>
              <w:top w:w="80" w:type="dxa"/>
              <w:bottom w:w="80" w:type="dxa"/>
              <w:left w:w="120" w:type="dxa"/>
              <w:right w:w="120" w:type="dxa"/>
            </w:tcMar>
            <w:tcBorders>
              <w:bottom w:val="single" w:sz="4" w:space="0" w:color="E2E8F0"/>
            </w:tcBorders>
          </w:tcPr>
          <w:p>
            <w:r>
              <w:rPr>
                <w:sz w:val="18"/>
              </w:rPr>
              <w:t>Python (Playwright &amp; BeautifulSoup)</w:t>
            </w:r>
          </w:p>
        </w:tc>
        <w:tc>
          <w:tcPr>
            <w:tcW w:type="dxa" w:w="3120"/>
            <w:tcMar>
              <w:top w:w="80" w:type="dxa"/>
              <w:bottom w:w="80" w:type="dxa"/>
              <w:left w:w="120" w:type="dxa"/>
              <w:right w:w="120" w:type="dxa"/>
            </w:tcMar>
            <w:tcBorders>
              <w:bottom w:val="single" w:sz="4" w:space="0" w:color="E2E8F0"/>
            </w:tcBorders>
          </w:tcPr>
          <w:p>
            <w:r>
              <w:rPr>
                <w:sz w:val="18"/>
              </w:rPr>
              <w:t>Headless browser data extraction across state educational portals with multi-sheet Excel generation.</w:t>
            </w:r>
          </w:p>
        </w:tc>
      </w:tr>
      <w:tr>
        <w:tc>
          <w:tcPr>
            <w:tcW w:type="dxa" w:w="3120"/>
            <w:tcMar>
              <w:top w:w="80" w:type="dxa"/>
              <w:bottom w:w="80" w:type="dxa"/>
              <w:left w:w="120" w:type="dxa"/>
              <w:right w:w="120" w:type="dxa"/>
            </w:tcMar>
            <w:tcBorders>
              <w:bottom w:val="single" w:sz="4" w:space="0" w:color="E2E8F0"/>
            </w:tcBorders>
          </w:tcPr>
          <w:p>
            <w:r>
              <w:rPr>
                <w:b/>
                <w:sz w:val="18"/>
              </w:rPr>
              <w:t>Validation Layer</w:t>
            </w:r>
          </w:p>
        </w:tc>
        <w:tc>
          <w:tcPr>
            <w:tcW w:type="dxa" w:w="3120"/>
            <w:tcMar>
              <w:top w:w="80" w:type="dxa"/>
              <w:bottom w:w="80" w:type="dxa"/>
              <w:left w:w="120" w:type="dxa"/>
              <w:right w:w="120" w:type="dxa"/>
            </w:tcMar>
            <w:tcBorders>
              <w:bottom w:val="single" w:sz="4" w:space="0" w:color="E2E8F0"/>
            </w:tcBorders>
          </w:tcPr>
          <w:p>
            <w:r>
              <w:rPr>
                <w:sz w:val="18"/>
              </w:rPr>
              <w:t>Zod Runtime Schemas</w:t>
            </w:r>
          </w:p>
        </w:tc>
        <w:tc>
          <w:tcPr>
            <w:tcW w:type="dxa" w:w="3120"/>
            <w:tcMar>
              <w:top w:w="80" w:type="dxa"/>
              <w:bottom w:w="80" w:type="dxa"/>
              <w:left w:w="120" w:type="dxa"/>
              <w:right w:w="120" w:type="dxa"/>
            </w:tcMar>
            <w:tcBorders>
              <w:bottom w:val="single" w:sz="4" w:space="0" w:color="E2E8F0"/>
            </w:tcBorders>
          </w:tcPr>
          <w:p>
            <w:r>
              <w:rPr>
                <w:sz w:val="18"/>
              </w:rPr>
              <w:t>Strict input coercion, schema enforcement, and boundary validation on all API endpoints.</w:t>
            </w:r>
          </w:p>
        </w:tc>
      </w:tr>
    </w:tbl>
    <w:p>
      <w:pPr>
        <w:spacing w:before="160"/>
      </w:pPr>
    </w:p>
    <w:p>
      <w:pPr>
        <w:pStyle w:val="Heading2"/>
        <w:keepNext/>
        <w:spacing w:before="280" w:after="80"/>
      </w:pPr>
      <w:r>
        <w:rPr>
          <w:rFonts w:ascii="Calibri" w:hAnsi="Calibri"/>
          <w:b/>
          <w:color w:val="BE123C"/>
        </w:rPr>
        <w:t>2.1 High-Performance Queue &amp; Background Worker Pipeline</w:t>
      </w:r>
    </w:p>
    <w:p>
      <w:r>
        <w:t>Outreach jobs transition through a strict finite state machine: PENDING -&gt; PROCESSING -&gt; ACCEPTED / FAILED / UNKNOWN. Jobs are queued atomically in SQLite, ensuring that dispatches are resilient against application restarts and server interruptions. Transient errors (network timeouts, DNS blips) trigger exponential retry backoff, while permanent 5xx mailbox errors are flagged and isolated.</w:t>
      </w:r>
    </w:p>
    <w:p>
      <w:pPr>
        <w:pStyle w:val="Heading1"/>
        <w:keepNext/>
        <w:spacing w:before="360" w:after="120"/>
      </w:pPr>
      <w:r>
        <w:rPr>
          <w:rFonts w:ascii="Calibri" w:hAnsi="Calibri"/>
          <w:b/>
          <w:color w:val="0F172A"/>
        </w:rPr>
        <w:t>3. Methodology, Safe Batching &amp; AP Directory Pipeline</w:t>
      </w:r>
    </w:p>
    <w:p>
      <w:pPr>
        <w:pStyle w:val="Heading2"/>
        <w:keepNext/>
        <w:spacing w:before="280" w:after="80"/>
      </w:pPr>
      <w:r>
        <w:rPr>
          <w:rFonts w:ascii="Calibri" w:hAnsi="Calibri"/>
          <w:b/>
          <w:color w:val="BE123C"/>
        </w:rPr>
        <w:t>3.1 Single Manual Outreach Flow</w:t>
      </w:r>
    </w:p>
    <w:p>
      <w:r>
        <w:t>Designed for high-value targets (Principals, Deans, HODs):</w:t>
      </w:r>
    </w:p>
    <w:p>
      <w:pPr>
        <w:pStyle w:val="ListBullet"/>
        <w:spacing w:after="40"/>
      </w:pPr>
      <w:r>
        <w:rPr>
          <w:b/>
        </w:rPr>
        <w:t xml:space="preserve">Real-Time Verification: </w:t>
      </w:r>
      <w:r>
        <w:t>As the operator types the institution email, an asynchronous debounced check queries /api/outreach/check-duplicate to ensure no active 30-day cooldown exists.</w:t>
      </w:r>
    </w:p>
    <w:p>
      <w:pPr>
        <w:pStyle w:val="ListBullet"/>
        <w:spacing w:after="40"/>
      </w:pPr>
      <w:r>
        <w:rPr>
          <w:b/>
        </w:rPr>
        <w:t xml:space="preserve">Intelligent Template Personalization: </w:t>
      </w:r>
      <w:r>
        <w:t>Selects from official Shortfundly templates. Placeholders such as {{college_name}}, {{contact_salutation}}, {{city_district}}, and {{department}} are parsed and formatted dynamically.</w:t>
      </w:r>
    </w:p>
    <w:p>
      <w:pPr>
        <w:pStyle w:val="ListBullet"/>
        <w:spacing w:after="40"/>
      </w:pPr>
      <w:r>
        <w:rPr>
          <w:b/>
        </w:rPr>
        <w:t xml:space="preserve">Visual Review Modal: </w:t>
      </w:r>
      <w:r>
        <w:t>Operators preview the exact rendered HTML email before releasing it to the mail queue, guaranteeing professional polish.</w:t>
      </w:r>
    </w:p>
    <w:p>
      <w:pPr>
        <w:pStyle w:val="Heading2"/>
        <w:keepNext/>
        <w:spacing w:before="280" w:after="80"/>
      </w:pPr>
      <w:r>
        <w:rPr>
          <w:rFonts w:ascii="Calibri" w:hAnsi="Calibri"/>
          <w:b/>
          <w:color w:val="BE123C"/>
        </w:rPr>
        <w:t>3.2 Unstress Bulk Outreach Panel &amp; Auto-Separate Batch Engine</w:t>
      </w:r>
    </w:p>
    <w:p>
      <w:r>
        <w:t>The bulk outreach dispatcher was comprehensively upgraded into an unstressful, high-throughput campaign system:</w:t>
      </w:r>
    </w:p>
    <w:p>
      <w:pPr>
        <w:pStyle w:val="ListBullet"/>
        <w:spacing w:after="40"/>
      </w:pPr>
      <w:r>
        <w:rPr>
          <w:b/>
        </w:rPr>
        <w:t xml:space="preserve">1-Click Built-in AP Dataset Loader: </w:t>
      </w:r>
      <w:r>
        <w:t>Direct in-app button loading 1,832 officially verified colleges across Andhra Pradesh in sub-10ms via pre-cached JSON API without manual file uploads.</w:t>
      </w:r>
    </w:p>
    <w:p>
      <w:pPr>
        <w:pStyle w:val="ListBullet"/>
        <w:spacing w:after="40"/>
      </w:pPr>
      <w:r>
        <w:rPr>
          <w:b/>
        </w:rPr>
        <w:t xml:space="preserve">Multi-Sheet Category Navigator: </w:t>
      </w:r>
      <w:r>
        <w:t>Tabbed switching across 6 directory sheets: All Colleges (1,832), Principals (1,291), HODs (528), Deans (186), TPOs (172), and Faculty (1,250).</w:t>
      </w:r>
    </w:p>
    <w:p>
      <w:pPr>
        <w:pStyle w:val="ListBullet"/>
        <w:spacing w:after="40"/>
      </w:pPr>
      <w:r>
        <w:rPr>
          <w:b/>
        </w:rPr>
        <w:t xml:space="preserve">Smart Applied Filters: </w:t>
      </w:r>
      <w:r>
        <w:t>Real-time pre-flight filtering by District (13 standardized AP districts — 0 numeric codes), Target Stakeholder Role, Website Availability, and live search query.</w:t>
      </w:r>
    </w:p>
    <w:p>
      <w:pPr>
        <w:pStyle w:val="ListBullet"/>
        <w:spacing w:after="40"/>
      </w:pPr>
      <w:r>
        <w:rPr>
          <w:b/>
        </w:rPr>
        <w:t xml:space="preserve">Auto-Separate Safe Batch Engine: </w:t>
      </w:r>
      <w:r>
        <w:t>Automatically partitions filtered records into safe batches (25, 50, 100, 200 per batch) with horizontal status pills (Ready / Sending / Completed).</w:t>
      </w:r>
    </w:p>
    <w:p>
      <w:pPr>
        <w:pStyle w:val="ListBullet"/>
        <w:spacing w:after="40"/>
      </w:pPr>
      <w:r>
        <w:rPr>
          <w:b/>
        </w:rPr>
        <w:t xml:space="preserve">Anti-Spam Cooling Interval &amp; Calming Pacing: </w:t>
      </w:r>
      <w:r>
        <w:t>Configurable inter-batch delay (5s, 10s Safe, 15s, 30s) with live countdown timer and Pause/Resume controls to protect domain reputation.</w:t>
      </w:r>
    </w:p>
    <w:p>
      <w:pPr>
        <w:pStyle w:val="ListBullet"/>
        <w:spacing w:after="40"/>
      </w:pPr>
      <w:r>
        <w:rPr>
          <w:b/>
        </w:rPr>
        <w:t xml:space="preserve">Flexible Execution Modes: </w:t>
      </w:r>
      <w:r>
        <w:t>Supports 'Send Active Batch Only' for targeted chunk testing, as well as 'Auto-Play All Batches (Unstressed)' for automated sequential execution with 300ms socket jitter.</w:t>
      </w:r>
    </w:p>
    <w:p>
      <w:pPr>
        <w:pStyle w:val="Heading2"/>
        <w:keepNext/>
        <w:spacing w:before="280" w:after="80"/>
      </w:pPr>
      <w:r>
        <w:rPr>
          <w:rFonts w:ascii="Calibri" w:hAnsi="Calibri"/>
          <w:b/>
          <w:color w:val="BE123C"/>
        </w:rPr>
        <w:t>3.3 Dynamic Template Personalization Rules</w:t>
      </w:r>
    </w:p>
    <w:p>
      <w:r>
        <w:t>Templates support multiple syntax conventions ([College Name], {{college_name}}, [Contact Person], [City / District], [Official Website URL], etc.) and automatically resolve contextual nuances:</w:t>
      </w:r>
    </w:p>
    <w:p>
      <w:pPr>
        <w:pStyle w:val="ListBullet"/>
        <w:spacing w:after="40"/>
      </w:pPr>
      <w:r>
        <w:rPr>
          <w:b/>
        </w:rPr>
        <w:t xml:space="preserve">Intelligent Salutation: </w:t>
      </w:r>
      <w:r>
        <w:t>Formats salutations dynamically (e.g., 'Dear Dr. Miller (Dean of Arts),' vs fallback 'Dear Sir/Madam,').</w:t>
      </w:r>
    </w:p>
    <w:p>
      <w:pPr>
        <w:pStyle w:val="ListBullet"/>
        <w:spacing w:after="40"/>
      </w:pPr>
      <w:r>
        <w:rPr>
          <w:b/>
        </w:rPr>
        <w:t xml:space="preserve">Department Clause Insertion: </w:t>
      </w:r>
      <w:r>
        <w:t>Automatically integrates department context cleanly into proposal narratives without awkward grammar.</w:t>
      </w:r>
    </w:p>
    <w:p>
      <w:pPr>
        <w:pStyle w:val="ListBullet"/>
        <w:spacing w:after="40"/>
      </w:pPr>
      <w:r>
        <w:rPr>
          <w:b/>
        </w:rPr>
        <w:t xml:space="preserve">Campus Pass Value Terms: </w:t>
      </w:r>
      <w:r>
        <w:t>Standardized commercial details outlining the Campus Pass (Rs 1,500 + GST/year) and all 6 platform product offerings.</w:t>
      </w:r>
    </w:p>
    <w:p>
      <w:pPr>
        <w:pStyle w:val="Heading2"/>
        <w:keepNext/>
        <w:spacing w:before="280" w:after="80"/>
      </w:pPr>
      <w:r>
        <w:rPr>
          <w:rFonts w:ascii="Calibri" w:hAnsi="Calibri"/>
          <w:b/>
          <w:color w:val="BE123C"/>
        </w:rPr>
        <w:t>3.4 Andhra Pradesh Statewide Higher Education Directory &amp; Scraping Pipeline</w:t>
      </w:r>
    </w:p>
    <w:p>
      <w:r>
        <w:t>A state-level higher education institutional intelligence pipeline was developed to empower the outreach portal with officially verified contacts:</w:t>
      </w:r>
    </w:p>
    <w:p>
      <w:pPr>
        <w:pStyle w:val="ListBullet"/>
        <w:spacing w:after="40"/>
      </w:pPr>
      <w:r>
        <w:rPr>
          <w:b/>
        </w:rPr>
        <w:t xml:space="preserve">Official Portals Scraped: </w:t>
      </w:r>
      <w:r>
        <w:t>Sourced directly from APSCHE, AP EAPCET / APTOnline College Master, AP Comprehensive Admission Portal (CAP / APCFSS), and Department of Collegiate Education (AP CCE).</w:t>
      </w:r>
    </w:p>
    <w:p>
      <w:pPr>
        <w:pStyle w:val="ListBullet"/>
        <w:spacing w:after="40"/>
      </w:pPr>
      <w:r>
        <w:rPr>
          <w:b/>
        </w:rPr>
        <w:t xml:space="preserve">1,832 Verified Colleges (0 Duplicates): </w:t>
      </w:r>
      <w:r>
        <w:t>Statewide institutional directory covering all 10 academic streams: Engineering, Pharmacy, MBA, MCA, Medical, Law, Architecture, Polytechnic, and PG colleges.</w:t>
      </w:r>
    </w:p>
    <w:p>
      <w:pPr>
        <w:pStyle w:val="ListBullet"/>
        <w:spacing w:after="40"/>
      </w:pPr>
      <w:r>
        <w:rPr>
          <w:b/>
        </w:rPr>
        <w:t xml:space="preserve">District Cleanup &amp; Standardization: </w:t>
      </w:r>
      <w:r>
        <w:t>Eliminated all raw numeric district codes, normalizing every institution into its verified 13 official districts (Guntur: 271, Prakasam: 191, Chittoor: 173, Krishna: 161, East Godavari: 153, Visakhapatnam: 152, Anantapur: 146, Kurnool: 138, West Godavari: 128, Nellore: 124, Kadapa: 116, Srikakulam: 55, Vizianagaram: 52).</w:t>
      </w:r>
    </w:p>
    <w:p>
      <w:pPr>
        <w:pStyle w:val="ListBullet"/>
        <w:spacing w:after="40"/>
      </w:pPr>
      <w:r>
        <w:rPr>
          <w:b/>
        </w:rPr>
        <w:t xml:space="preserve">National &amp; Premier Institutes: </w:t>
      </w:r>
      <w:r>
        <w:t>Integrated premier institutions including IIT Tirupati, NIT Andhra Pradesh, IIIT Sri City, IIITDM Kurnool, IIM Visakhapatnam, IISER Tirupati, AIIMS Mangalagiri, KL University, GITAM, VFSTR, and Government Medical Colleges.</w:t>
      </w:r>
    </w:p>
    <w:p>
      <w:pPr>
        <w:pStyle w:val="ListBullet"/>
        <w:spacing w:after="40"/>
      </w:pPr>
      <w:r>
        <w:rPr>
          <w:b/>
        </w:rPr>
        <w:t xml:space="preserve">Multi-Sheet Master Excel Architecture: </w:t>
      </w:r>
      <w:r>
        <w:t>Consolidated into Andhra_Pradesh_Master_College_Directory_2026.xlsx across 6 purpose-built sheets, and exported as pre-cached JSON for instant sub-10ms UI loading.</w:t>
      </w:r>
    </w:p>
    <w:p>
      <w:pPr>
        <w:pStyle w:val="Heading1"/>
        <w:keepNext/>
        <w:spacing w:before="360" w:after="120"/>
      </w:pPr>
      <w:r>
        <w:rPr>
          <w:rFonts w:ascii="Calibri" w:hAnsi="Calibri"/>
          <w:b/>
          <w:color w:val="0F172A"/>
        </w:rPr>
        <w:t>4. Cybersecurity Architecture &amp; Defense In Depth</w:t>
      </w:r>
    </w:p>
    <w:p>
      <w:r>
        <w:t>The Shortfundly portal incorporates enterprise-grade defenses across all layers:</w:t>
      </w:r>
    </w:p>
    <w:p>
      <w:pPr>
        <w:pStyle w:val="ListBullet"/>
        <w:spacing w:after="60"/>
      </w:pPr>
      <w:r>
        <w:rPr>
          <w:b/>
        </w:rPr>
        <w:t xml:space="preserve">Zero Shared Header Privacy Guarantee: </w:t>
      </w:r>
      <w:r>
        <w:t>Every outreach email is dispatched with its own individual envelope. Recipient addresses are never concatenated in To, CC, or BCC, eliminating organizational data leakage.</w:t>
      </w:r>
    </w:p>
    <w:p>
      <w:pPr>
        <w:pStyle w:val="ListBullet"/>
        <w:spacing w:after="60"/>
      </w:pPr>
      <w:r>
        <w:rPr>
          <w:b/>
        </w:rPr>
        <w:t xml:space="preserve">Self-Contained Algorithmic CAPTCHA: </w:t>
      </w:r>
      <w:r>
        <w:t>Procedurally generated SVG challenge featuring wave-warped text, visual noise lines, and randomized font metrics. Signed with an HMAC-SHA256 timestamp token with 5-minute expiry and replay resistance.</w:t>
      </w:r>
    </w:p>
    <w:p>
      <w:pPr>
        <w:pStyle w:val="ListBullet"/>
        <w:spacing w:after="60"/>
      </w:pPr>
      <w:r>
        <w:rPr>
          <w:b/>
        </w:rPr>
        <w:t xml:space="preserve">Multi-Role Access Control (RBAC): </w:t>
      </w:r>
      <w:r>
        <w:t>Three distinct roles: Admin (full system, user management, and SMTP credentials), Team Lead (template and campaign management), and Manager (read-only monitoring with optional can_send dispatch permission).</w:t>
      </w:r>
    </w:p>
    <w:p>
      <w:pPr>
        <w:pStyle w:val="ListBullet"/>
        <w:spacing w:after="60"/>
      </w:pPr>
      <w:r>
        <w:rPr>
          <w:b/>
        </w:rPr>
        <w:t xml:space="preserve">100% Parameterized Statements (SQLi Immunity): </w:t>
      </w:r>
      <w:r>
        <w:t>All queries use SQLite's native db.prepare() binding. SQL injection attacks are mathematically impossible as user inputs are handled exclusively as literals.</w:t>
      </w:r>
    </w:p>
    <w:p>
      <w:pPr>
        <w:pStyle w:val="ListBullet"/>
        <w:spacing w:after="60"/>
      </w:pPr>
      <w:r>
        <w:rPr>
          <w:b/>
        </w:rPr>
        <w:t xml:space="preserve">Credential Protection &amp; Session Hardening: </w:t>
      </w:r>
      <w:r>
        <w:t>Passwords are encrypted using bcrypt with 12 salt rounds. Sessions are stored in HTTP-only, SameSite=lax, Secure JWT cookies with active database revocation checks.</w:t>
      </w:r>
    </w:p>
    <w:p>
      <w:pPr>
        <w:pStyle w:val="ListBullet"/>
        <w:spacing w:after="60"/>
      </w:pPr>
      <w:r>
        <w:rPr>
          <w:b/>
        </w:rPr>
        <w:t xml:space="preserve">Sliding Window Rate Limiters: </w:t>
      </w:r>
      <w:r>
        <w:t>In-memory rate limiters restrict login attempts to 5 per 15 minutes per IP, and email dispatches to 30 per hour per session to mitigate brute-force and flooding.</w:t>
      </w:r>
    </w:p>
    <w:p>
      <w:pPr>
        <w:pStyle w:val="ListBullet"/>
        <w:spacing w:after="60"/>
      </w:pPr>
      <w:r>
        <w:rPr>
          <w:b/>
        </w:rPr>
        <w:t xml:space="preserve">OWASP Security Headers &amp; CSRF Defense: </w:t>
      </w:r>
      <w:r>
        <w:t>Enforces strict Content-Security-Policy (CSP), X-Frame-Options: DENY, X-Content-Type-Options: nosniff, and origin validation on all mutating API calls.</w:t>
      </w:r>
    </w:p>
    <w:p>
      <w:pPr>
        <w:pStyle w:val="ListBullet"/>
        <w:spacing w:after="60"/>
      </w:pPr>
      <w:r>
        <w:rPr>
          <w:b/>
        </w:rPr>
        <w:t xml:space="preserve">Immutable Security Audit Ledger: </w:t>
      </w:r>
      <w:r>
        <w:t>Every administrative action, authentication attempt, outreach dispatch, and SMTP credential update is written to the audit_logs table with actor IP and timestamps.</w:t>
      </w:r>
    </w:p>
    <w:tbl>
      <w:tblPr>
        <w:tblW w:type="auto" w:w="0"/>
        <w:jc w:val="center"/>
        <w:tblLook w:firstColumn="1" w:firstRow="1" w:lastColumn="0" w:lastRow="0" w:noHBand="0" w:noVBand="1" w:val="04A0"/>
      </w:tblPr>
      <w:tblGrid>
        <w:gridCol w:w="9360"/>
      </w:tblGrid>
      <w:tr>
        <w:tc>
          <w:tcPr>
            <w:tcW w:type="dxa" w:w="9360"/>
            <w:shd w:fill="FFF1F2"/>
            <w:tcMar>
              <w:top w:w="140" w:type="dxa"/>
              <w:bottom w:w="140" w:type="dxa"/>
              <w:left w:w="200" w:type="dxa"/>
              <w:right w:w="180" w:type="dxa"/>
            </w:tcMar>
            <w:tcBorders>
              <w:left w:val="single" w:sz="24" w:space="0" w:color="E11D48"/>
            </w:tcBorders>
          </w:tcPr>
          <w:p>
            <w:pPr>
              <w:spacing w:before="0" w:after="80"/>
            </w:pPr>
            <w:r>
              <w:rPr>
                <w:rFonts w:ascii="Calibri" w:hAnsi="Calibri"/>
                <w:b/>
                <w:color w:val="BE123C"/>
                <w:sz w:val="20"/>
              </w:rPr>
              <w:t xml:space="preserve">[SECURITY COMPLIANCE] </w:t>
            </w:r>
            <w:r>
              <w:rPr>
                <w:rFonts w:ascii="Calibri" w:hAnsi="Calibri"/>
                <w:color w:val="334155"/>
                <w:sz w:val="20"/>
              </w:rPr>
              <w:t>The portal adheres strictly to OWASP Top 10 guidelines, eliminating external tracking dependencies while enforcing cryptographic integrity on sessions, logins, and email envelopes.</w:t>
            </w:r>
          </w:p>
        </w:tc>
      </w:tr>
    </w:tbl>
    <w:p>
      <w:pPr>
        <w:spacing w:before="0" w:after="80"/>
      </w:pPr>
    </w:p>
    <w:p>
      <w:pPr>
        <w:pStyle w:val="Heading1"/>
        <w:keepNext/>
        <w:spacing w:before="360" w:after="120"/>
      </w:pPr>
      <w:r>
        <w:rPr>
          <w:rFonts w:ascii="Calibri" w:hAnsi="Calibri"/>
          <w:b/>
          <w:color w:val="0F172A"/>
        </w:rPr>
        <w:t>5. Testing Results &amp; Benchmark Verification</w:t>
      </w:r>
    </w:p>
    <w:p>
      <w:r>
        <w:t>The system was evaluated through two automated suites: the Production System Verification Suite and the Concurrency Load &amp; Cybersecurity Stress Suite.</w:t>
      </w:r>
    </w:p>
    <w:p>
      <w:pPr>
        <w:pStyle w:val="Heading2"/>
        <w:keepNext/>
        <w:spacing w:before="280" w:after="80"/>
      </w:pPr>
      <w:r>
        <w:rPr>
          <w:rFonts w:ascii="Calibri" w:hAnsi="Calibri"/>
          <w:b/>
          <w:color w:val="BE123C"/>
        </w:rPr>
        <w:t>5.1 Production Verification Suite (scripts/test-system.js)</w:t>
      </w:r>
    </w:p>
    <w:p>
      <w:r>
        <w:t>All 9 production tests executed and passed cleanly:</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00" w:type="dxa"/>
              <w:bottom w:w="100" w:type="dxa"/>
              <w:left w:w="140" w:type="dxa"/>
              <w:right w:w="140" w:type="dxa"/>
            </w:tcMar>
          </w:tcPr>
          <w:p>
            <w:r>
              <w:rPr>
                <w:b/>
                <w:sz w:val="19"/>
              </w:rPr>
              <w:t>Test Case ID</w:t>
            </w:r>
          </w:p>
        </w:tc>
        <w:tc>
          <w:tcPr>
            <w:tcW w:type="dxa" w:w="3120"/>
            <w:shd w:fill="F1F5F9"/>
            <w:tcMar>
              <w:top w:w="100" w:type="dxa"/>
              <w:bottom w:w="100" w:type="dxa"/>
              <w:left w:w="140" w:type="dxa"/>
              <w:right w:w="140" w:type="dxa"/>
            </w:tcMar>
          </w:tcPr>
          <w:p>
            <w:r>
              <w:rPr>
                <w:b/>
                <w:sz w:val="19"/>
              </w:rPr>
              <w:t>Verification Objective</w:t>
            </w:r>
          </w:p>
        </w:tc>
        <w:tc>
          <w:tcPr>
            <w:tcW w:type="dxa" w:w="3120"/>
            <w:shd w:fill="F1F5F9"/>
            <w:tcMar>
              <w:top w:w="100" w:type="dxa"/>
              <w:bottom w:w="100" w:type="dxa"/>
              <w:left w:w="140" w:type="dxa"/>
              <w:right w:w="140" w:type="dxa"/>
            </w:tcMar>
          </w:tcPr>
          <w:p>
            <w:r>
              <w:rPr>
                <w:b/>
                <w:sz w:val="19"/>
              </w:rPr>
              <w:t>Measured Result &amp; Status</w:t>
            </w:r>
          </w:p>
        </w:tc>
      </w:tr>
      <w:tr>
        <w:tc>
          <w:tcPr>
            <w:tcW w:type="dxa" w:w="3120"/>
            <w:tcMar>
              <w:top w:w="70" w:type="dxa"/>
              <w:bottom w:w="70" w:type="dxa"/>
              <w:left w:w="120" w:type="dxa"/>
              <w:right w:w="120" w:type="dxa"/>
            </w:tcMar>
            <w:tcBorders>
              <w:bottom w:val="single" w:sz="4" w:space="0" w:color="E2E8F0"/>
            </w:tcBorders>
          </w:tcPr>
          <w:p>
            <w:r>
              <w:rPr>
                <w:b/>
                <w:sz w:val="17"/>
              </w:rPr>
              <w:t>Test 1</w:t>
            </w:r>
          </w:p>
        </w:tc>
        <w:tc>
          <w:tcPr>
            <w:tcW w:type="dxa" w:w="3120"/>
            <w:tcMar>
              <w:top w:w="70" w:type="dxa"/>
              <w:bottom w:w="70" w:type="dxa"/>
              <w:left w:w="120" w:type="dxa"/>
              <w:right w:w="120" w:type="dxa"/>
            </w:tcMar>
            <w:tcBorders>
              <w:bottom w:val="single" w:sz="4" w:space="0" w:color="E2E8F0"/>
            </w:tcBorders>
          </w:tcPr>
          <w:p>
            <w:r>
              <w:rPr>
                <w:sz w:val="17"/>
              </w:rPr>
              <w:t>SQLite Schema &amp; Admin Bootstrap</w:t>
            </w:r>
          </w:p>
        </w:tc>
        <w:tc>
          <w:tcPr>
            <w:tcW w:type="dxa" w:w="3120"/>
            <w:tcMar>
              <w:top w:w="70" w:type="dxa"/>
              <w:bottom w:w="70" w:type="dxa"/>
              <w:left w:w="120" w:type="dxa"/>
              <w:right w:w="120" w:type="dxa"/>
            </w:tcMar>
            <w:tcBorders>
              <w:bottom w:val="single" w:sz="4" w:space="0" w:color="E2E8F0"/>
            </w:tcBorders>
          </w:tcPr>
          <w:p>
            <w:r>
              <w:rPr>
                <w:sz w:val="17"/>
              </w:rPr>
              <w:t>users, outreach_logs, email_templates, audit_logs verified [PASSED]</w:t>
            </w:r>
          </w:p>
        </w:tc>
      </w:tr>
      <w:tr>
        <w:tc>
          <w:tcPr>
            <w:tcW w:type="dxa" w:w="3120"/>
            <w:tcMar>
              <w:top w:w="70" w:type="dxa"/>
              <w:bottom w:w="70" w:type="dxa"/>
              <w:left w:w="120" w:type="dxa"/>
              <w:right w:w="120" w:type="dxa"/>
            </w:tcMar>
            <w:tcBorders>
              <w:bottom w:val="single" w:sz="4" w:space="0" w:color="E2E8F0"/>
            </w:tcBorders>
          </w:tcPr>
          <w:p>
            <w:r>
              <w:rPr>
                <w:b/>
                <w:sz w:val="17"/>
              </w:rPr>
              <w:t>Test 2</w:t>
            </w:r>
          </w:p>
        </w:tc>
        <w:tc>
          <w:tcPr>
            <w:tcW w:type="dxa" w:w="3120"/>
            <w:tcMar>
              <w:top w:w="70" w:type="dxa"/>
              <w:bottom w:w="70" w:type="dxa"/>
              <w:left w:w="120" w:type="dxa"/>
              <w:right w:w="120" w:type="dxa"/>
            </w:tcMar>
            <w:tcBorders>
              <w:bottom w:val="single" w:sz="4" w:space="0" w:color="E2E8F0"/>
            </w:tcBorders>
          </w:tcPr>
          <w:p>
            <w:r>
              <w:rPr>
                <w:sz w:val="17"/>
              </w:rPr>
              <w:t>Authentication &amp; Password Security</w:t>
            </w:r>
          </w:p>
        </w:tc>
        <w:tc>
          <w:tcPr>
            <w:tcW w:type="dxa" w:w="3120"/>
            <w:tcMar>
              <w:top w:w="70" w:type="dxa"/>
              <w:bottom w:w="70" w:type="dxa"/>
              <w:left w:w="120" w:type="dxa"/>
              <w:right w:w="120" w:type="dxa"/>
            </w:tcMar>
            <w:tcBorders>
              <w:bottom w:val="single" w:sz="4" w:space="0" w:color="E2E8F0"/>
            </w:tcBorders>
          </w:tcPr>
          <w:p>
            <w:r>
              <w:rPr>
                <w:sz w:val="17"/>
              </w:rPr>
              <w:t>Valid login accepted; invalid rejected with HTTP 401 [PASSED]</w:t>
            </w:r>
          </w:p>
        </w:tc>
      </w:tr>
      <w:tr>
        <w:tc>
          <w:tcPr>
            <w:tcW w:type="dxa" w:w="3120"/>
            <w:tcMar>
              <w:top w:w="70" w:type="dxa"/>
              <w:bottom w:w="70" w:type="dxa"/>
              <w:left w:w="120" w:type="dxa"/>
              <w:right w:w="120" w:type="dxa"/>
            </w:tcMar>
            <w:tcBorders>
              <w:bottom w:val="single" w:sz="4" w:space="0" w:color="E2E8F0"/>
            </w:tcBorders>
          </w:tcPr>
          <w:p>
            <w:r>
              <w:rPr>
                <w:b/>
                <w:sz w:val="17"/>
              </w:rPr>
              <w:t>Test 3</w:t>
            </w:r>
          </w:p>
        </w:tc>
        <w:tc>
          <w:tcPr>
            <w:tcW w:type="dxa" w:w="3120"/>
            <w:tcMar>
              <w:top w:w="70" w:type="dxa"/>
              <w:bottom w:w="70" w:type="dxa"/>
              <w:left w:w="120" w:type="dxa"/>
              <w:right w:w="120" w:type="dxa"/>
            </w:tcMar>
            <w:tcBorders>
              <w:bottom w:val="single" w:sz="4" w:space="0" w:color="E2E8F0"/>
            </w:tcBorders>
          </w:tcPr>
          <w:p>
            <w:r>
              <w:rPr>
                <w:sz w:val="17"/>
              </w:rPr>
              <w:t>Template Rendering &amp; Variable Escaping</w:t>
            </w:r>
          </w:p>
        </w:tc>
        <w:tc>
          <w:tcPr>
            <w:tcW w:type="dxa" w:w="3120"/>
            <w:tcMar>
              <w:top w:w="70" w:type="dxa"/>
              <w:bottom w:w="70" w:type="dxa"/>
              <w:left w:w="120" w:type="dxa"/>
              <w:right w:w="120" w:type="dxa"/>
            </w:tcMar>
            <w:tcBorders>
              <w:bottom w:val="single" w:sz="4" w:space="0" w:color="E2E8F0"/>
            </w:tcBorders>
          </w:tcPr>
          <w:p>
            <w:r>
              <w:rPr>
                <w:sz w:val="17"/>
              </w:rPr>
              <w:t>HTML tags (&lt;Film Club&gt;) entity-escaped; 6 products validated [PASSED]</w:t>
            </w:r>
          </w:p>
        </w:tc>
      </w:tr>
      <w:tr>
        <w:tc>
          <w:tcPr>
            <w:tcW w:type="dxa" w:w="3120"/>
            <w:tcMar>
              <w:top w:w="70" w:type="dxa"/>
              <w:bottom w:w="70" w:type="dxa"/>
              <w:left w:w="120" w:type="dxa"/>
              <w:right w:w="120" w:type="dxa"/>
            </w:tcMar>
            <w:tcBorders>
              <w:bottom w:val="single" w:sz="4" w:space="0" w:color="E2E8F0"/>
            </w:tcBorders>
          </w:tcPr>
          <w:p>
            <w:r>
              <w:rPr>
                <w:b/>
                <w:sz w:val="17"/>
              </w:rPr>
              <w:t>Test 4</w:t>
            </w:r>
          </w:p>
        </w:tc>
        <w:tc>
          <w:tcPr>
            <w:tcW w:type="dxa" w:w="3120"/>
            <w:tcMar>
              <w:top w:w="70" w:type="dxa"/>
              <w:bottom w:w="70" w:type="dxa"/>
              <w:left w:w="120" w:type="dxa"/>
              <w:right w:w="120" w:type="dxa"/>
            </w:tcMar>
            <w:tcBorders>
              <w:bottom w:val="single" w:sz="4" w:space="0" w:color="E2E8F0"/>
            </w:tcBorders>
          </w:tcPr>
          <w:p>
            <w:r>
              <w:rPr>
                <w:sz w:val="17"/>
              </w:rPr>
              <w:t>Outreach Job Queue &amp; State Transitions</w:t>
            </w:r>
          </w:p>
        </w:tc>
        <w:tc>
          <w:tcPr>
            <w:tcW w:type="dxa" w:w="3120"/>
            <w:tcMar>
              <w:top w:w="70" w:type="dxa"/>
              <w:bottom w:w="70" w:type="dxa"/>
              <w:left w:w="120" w:type="dxa"/>
              <w:right w:w="120" w:type="dxa"/>
            </w:tcMar>
            <w:tcBorders>
              <w:bottom w:val="single" w:sz="4" w:space="0" w:color="E2E8F0"/>
            </w:tcBorders>
          </w:tcPr>
          <w:p>
            <w:r>
              <w:rPr>
                <w:sz w:val="17"/>
              </w:rPr>
              <w:t>PENDING -&gt; worker dispatch -&gt; terminal ACCEPTED status [PASSED]</w:t>
            </w:r>
          </w:p>
        </w:tc>
      </w:tr>
      <w:tr>
        <w:tc>
          <w:tcPr>
            <w:tcW w:type="dxa" w:w="3120"/>
            <w:tcMar>
              <w:top w:w="70" w:type="dxa"/>
              <w:bottom w:w="70" w:type="dxa"/>
              <w:left w:w="120" w:type="dxa"/>
              <w:right w:w="120" w:type="dxa"/>
            </w:tcMar>
            <w:tcBorders>
              <w:bottom w:val="single" w:sz="4" w:space="0" w:color="E2E8F0"/>
            </w:tcBorders>
          </w:tcPr>
          <w:p>
            <w:r>
              <w:rPr>
                <w:b/>
                <w:sz w:val="17"/>
              </w:rPr>
              <w:t>Test 5</w:t>
            </w:r>
          </w:p>
        </w:tc>
        <w:tc>
          <w:tcPr>
            <w:tcW w:type="dxa" w:w="3120"/>
            <w:tcMar>
              <w:top w:w="70" w:type="dxa"/>
              <w:bottom w:w="70" w:type="dxa"/>
              <w:left w:w="120" w:type="dxa"/>
              <w:right w:w="120" w:type="dxa"/>
            </w:tcMar>
            <w:tcBorders>
              <w:bottom w:val="single" w:sz="4" w:space="0" w:color="E2E8F0"/>
            </w:tcBorders>
          </w:tcPr>
          <w:p>
            <w:r>
              <w:rPr>
                <w:sz w:val="17"/>
              </w:rPr>
              <w:t>Atomic Duplicate Prevention Guard</w:t>
            </w:r>
          </w:p>
        </w:tc>
        <w:tc>
          <w:tcPr>
            <w:tcW w:type="dxa" w:w="3120"/>
            <w:tcMar>
              <w:top w:w="70" w:type="dxa"/>
              <w:bottom w:w="70" w:type="dxa"/>
              <w:left w:w="120" w:type="dxa"/>
              <w:right w:w="120" w:type="dxa"/>
            </w:tcMar>
            <w:tcBorders>
              <w:bottom w:val="single" w:sz="4" w:space="0" w:color="E2E8F0"/>
            </w:tcBorders>
          </w:tcPr>
          <w:p>
            <w:r>
              <w:rPr>
                <w:sz w:val="17"/>
              </w:rPr>
              <w:t>Recipient flagged in 30-day cooldown window [PASSED]</w:t>
            </w:r>
          </w:p>
        </w:tc>
      </w:tr>
      <w:tr>
        <w:tc>
          <w:tcPr>
            <w:tcW w:type="dxa" w:w="3120"/>
            <w:tcMar>
              <w:top w:w="70" w:type="dxa"/>
              <w:bottom w:w="70" w:type="dxa"/>
              <w:left w:w="120" w:type="dxa"/>
              <w:right w:w="120" w:type="dxa"/>
            </w:tcMar>
            <w:tcBorders>
              <w:bottom w:val="single" w:sz="4" w:space="0" w:color="E2E8F0"/>
            </w:tcBorders>
          </w:tcPr>
          <w:p>
            <w:r>
              <w:rPr>
                <w:b/>
                <w:sz w:val="17"/>
              </w:rPr>
              <w:t>Test 6</w:t>
            </w:r>
          </w:p>
        </w:tc>
        <w:tc>
          <w:tcPr>
            <w:tcW w:type="dxa" w:w="3120"/>
            <w:tcMar>
              <w:top w:w="70" w:type="dxa"/>
              <w:bottom w:w="70" w:type="dxa"/>
              <w:left w:w="120" w:type="dxa"/>
              <w:right w:w="120" w:type="dxa"/>
            </w:tcMar>
            <w:tcBorders>
              <w:bottom w:val="single" w:sz="4" w:space="0" w:color="E2E8F0"/>
            </w:tcBorders>
          </w:tcPr>
          <w:p>
            <w:r>
              <w:rPr>
                <w:sz w:val="17"/>
              </w:rPr>
              <w:t>SMTP Error Categorization Engine</w:t>
            </w:r>
          </w:p>
        </w:tc>
        <w:tc>
          <w:tcPr>
            <w:tcW w:type="dxa" w:w="3120"/>
            <w:tcMar>
              <w:top w:w="70" w:type="dxa"/>
              <w:bottom w:w="70" w:type="dxa"/>
              <w:left w:w="120" w:type="dxa"/>
              <w:right w:w="120" w:type="dxa"/>
            </w:tcMar>
            <w:tcBorders>
              <w:bottom w:val="single" w:sz="4" w:space="0" w:color="E2E8F0"/>
            </w:tcBorders>
          </w:tcPr>
          <w:p>
            <w:r>
              <w:rPr>
                <w:sz w:val="17"/>
              </w:rPr>
              <w:t>ETIMEDOUT classified TRANSIENT; 550 classified PERMANENT [PASSED]</w:t>
            </w:r>
          </w:p>
        </w:tc>
      </w:tr>
      <w:tr>
        <w:tc>
          <w:tcPr>
            <w:tcW w:type="dxa" w:w="3120"/>
            <w:tcMar>
              <w:top w:w="70" w:type="dxa"/>
              <w:bottom w:w="70" w:type="dxa"/>
              <w:left w:w="120" w:type="dxa"/>
              <w:right w:w="120" w:type="dxa"/>
            </w:tcMar>
            <w:tcBorders>
              <w:bottom w:val="single" w:sz="4" w:space="0" w:color="E2E8F0"/>
            </w:tcBorders>
          </w:tcPr>
          <w:p>
            <w:r>
              <w:rPr>
                <w:b/>
                <w:sz w:val="17"/>
              </w:rPr>
              <w:t>Test 7</w:t>
            </w:r>
          </w:p>
        </w:tc>
        <w:tc>
          <w:tcPr>
            <w:tcW w:type="dxa" w:w="3120"/>
            <w:tcMar>
              <w:top w:w="70" w:type="dxa"/>
              <w:bottom w:w="70" w:type="dxa"/>
              <w:left w:w="120" w:type="dxa"/>
              <w:right w:w="120" w:type="dxa"/>
            </w:tcMar>
            <w:tcBorders>
              <w:bottom w:val="single" w:sz="4" w:space="0" w:color="E2E8F0"/>
            </w:tcBorders>
          </w:tcPr>
          <w:p>
            <w:r>
              <w:rPr>
                <w:sz w:val="17"/>
              </w:rPr>
              <w:t>Security Audit Trail Ledger</w:t>
            </w:r>
          </w:p>
        </w:tc>
        <w:tc>
          <w:tcPr>
            <w:tcW w:type="dxa" w:w="3120"/>
            <w:tcMar>
              <w:top w:w="70" w:type="dxa"/>
              <w:bottom w:w="70" w:type="dxa"/>
              <w:left w:w="120" w:type="dxa"/>
              <w:right w:w="120" w:type="dxa"/>
            </w:tcMar>
            <w:tcBorders>
              <w:bottom w:val="single" w:sz="4" w:space="0" w:color="E2E8F0"/>
            </w:tcBorders>
          </w:tcPr>
          <w:p>
            <w:r>
              <w:rPr>
                <w:sz w:val="17"/>
              </w:rPr>
              <w:t>Verified audit_logs entry creation for all security events [PASSED]</w:t>
            </w:r>
          </w:p>
        </w:tc>
      </w:tr>
      <w:tr>
        <w:tc>
          <w:tcPr>
            <w:tcW w:type="dxa" w:w="3120"/>
            <w:tcMar>
              <w:top w:w="70" w:type="dxa"/>
              <w:bottom w:w="70" w:type="dxa"/>
              <w:left w:w="120" w:type="dxa"/>
              <w:right w:w="120" w:type="dxa"/>
            </w:tcMar>
            <w:tcBorders>
              <w:bottom w:val="single" w:sz="4" w:space="0" w:color="E2E8F0"/>
            </w:tcBorders>
          </w:tcPr>
          <w:p>
            <w:r>
              <w:rPr>
                <w:b/>
                <w:sz w:val="17"/>
              </w:rPr>
              <w:t>Test 8</w:t>
            </w:r>
          </w:p>
        </w:tc>
        <w:tc>
          <w:tcPr>
            <w:tcW w:type="dxa" w:w="3120"/>
            <w:tcMar>
              <w:top w:w="70" w:type="dxa"/>
              <w:bottom w:w="70" w:type="dxa"/>
              <w:left w:w="120" w:type="dxa"/>
              <w:right w:w="120" w:type="dxa"/>
            </w:tcMar>
            <w:tcBorders>
              <w:bottom w:val="single" w:sz="4" w:space="0" w:color="E2E8F0"/>
            </w:tcBorders>
          </w:tcPr>
          <w:p>
            <w:r>
              <w:rPr>
                <w:sz w:val="17"/>
              </w:rPr>
              <w:t>Multi-Role RBAC (Admin/Lead/Manager)</w:t>
            </w:r>
          </w:p>
        </w:tc>
        <w:tc>
          <w:tcPr>
            <w:tcW w:type="dxa" w:w="3120"/>
            <w:tcMar>
              <w:top w:w="70" w:type="dxa"/>
              <w:bottom w:w="70" w:type="dxa"/>
              <w:left w:w="120" w:type="dxa"/>
              <w:right w:w="120" w:type="dxa"/>
            </w:tcMar>
            <w:tcBorders>
              <w:bottom w:val="single" w:sz="4" w:space="0" w:color="E2E8F0"/>
            </w:tcBorders>
          </w:tcPr>
          <w:p>
            <w:r>
              <w:rPr>
                <w:sz w:val="17"/>
              </w:rPr>
              <w:t>Role checks and can_send granular permission gates verified [PASSED]</w:t>
            </w:r>
          </w:p>
        </w:tc>
      </w:tr>
      <w:tr>
        <w:tc>
          <w:tcPr>
            <w:tcW w:type="dxa" w:w="3120"/>
            <w:tcMar>
              <w:top w:w="70" w:type="dxa"/>
              <w:bottom w:w="70" w:type="dxa"/>
              <w:left w:w="120" w:type="dxa"/>
              <w:right w:w="120" w:type="dxa"/>
            </w:tcMar>
            <w:tcBorders>
              <w:bottom w:val="single" w:sz="4" w:space="0" w:color="E2E8F0"/>
            </w:tcBorders>
          </w:tcPr>
          <w:p>
            <w:r>
              <w:rPr>
                <w:b/>
                <w:sz w:val="17"/>
              </w:rPr>
              <w:t>Test 9</w:t>
            </w:r>
          </w:p>
        </w:tc>
        <w:tc>
          <w:tcPr>
            <w:tcW w:type="dxa" w:w="3120"/>
            <w:tcMar>
              <w:top w:w="70" w:type="dxa"/>
              <w:bottom w:w="70" w:type="dxa"/>
              <w:left w:w="120" w:type="dxa"/>
              <w:right w:w="120" w:type="dxa"/>
            </w:tcMar>
            <w:tcBorders>
              <w:bottom w:val="single" w:sz="4" w:space="0" w:color="E2E8F0"/>
            </w:tcBorders>
          </w:tcPr>
          <w:p>
            <w:r>
              <w:rPr>
                <w:sz w:val="17"/>
              </w:rPr>
              <w:t>Dynamic Google SMTP &amp; Live Handshake</w:t>
            </w:r>
          </w:p>
        </w:tc>
        <w:tc>
          <w:tcPr>
            <w:tcW w:type="dxa" w:w="3120"/>
            <w:tcMar>
              <w:top w:w="70" w:type="dxa"/>
              <w:bottom w:w="70" w:type="dxa"/>
              <w:left w:w="120" w:type="dxa"/>
              <w:right w:w="120" w:type="dxa"/>
            </w:tcMar>
            <w:tcBorders>
              <w:bottom w:val="single" w:sz="4" w:space="0" w:color="E2E8F0"/>
            </w:tcBorders>
          </w:tcPr>
          <w:p>
            <w:r>
              <w:rPr>
                <w:sz w:val="17"/>
              </w:rPr>
              <w:t>Live TLS handshake to smtp.gmail.com:465 confirmed [PASSED]</w:t>
            </w:r>
          </w:p>
        </w:tc>
      </w:tr>
    </w:tbl>
    <w:p>
      <w:pPr>
        <w:spacing w:before="160"/>
      </w:pPr>
    </w:p>
    <w:p>
      <w:pPr>
        <w:pStyle w:val="Heading2"/>
        <w:keepNext/>
        <w:spacing w:before="280" w:after="80"/>
      </w:pPr>
      <w:r>
        <w:rPr>
          <w:rFonts w:ascii="Calibri" w:hAnsi="Calibri"/>
          <w:b/>
          <w:color w:val="BE123C"/>
        </w:rPr>
        <w:t>5.2 Load Stress &amp; Performance Benchmarks (scripts/load-test.js)</w:t>
      </w:r>
    </w:p>
    <w:p>
      <w:r>
        <w:t>Stress benchmarks conducted under intensive simulated loads:</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00" w:type="dxa"/>
              <w:bottom w:w="100" w:type="dxa"/>
              <w:left w:w="140" w:type="dxa"/>
              <w:right w:w="140" w:type="dxa"/>
            </w:tcMar>
          </w:tcPr>
          <w:p>
            <w:r>
              <w:rPr>
                <w:b/>
                <w:sz w:val="19"/>
              </w:rPr>
              <w:t>Benchmark Test</w:t>
            </w:r>
          </w:p>
        </w:tc>
        <w:tc>
          <w:tcPr>
            <w:tcW w:type="dxa" w:w="3120"/>
            <w:shd w:fill="F1F5F9"/>
            <w:tcMar>
              <w:top w:w="100" w:type="dxa"/>
              <w:bottom w:w="100" w:type="dxa"/>
              <w:left w:w="140" w:type="dxa"/>
              <w:right w:w="140" w:type="dxa"/>
            </w:tcMar>
          </w:tcPr>
          <w:p>
            <w:r>
              <w:rPr>
                <w:b/>
                <w:sz w:val="19"/>
              </w:rPr>
              <w:t>Load Profile / Iterations</w:t>
            </w:r>
          </w:p>
        </w:tc>
        <w:tc>
          <w:tcPr>
            <w:tcW w:type="dxa" w:w="3120"/>
            <w:shd w:fill="F1F5F9"/>
            <w:tcMar>
              <w:top w:w="100" w:type="dxa"/>
              <w:bottom w:w="100" w:type="dxa"/>
              <w:left w:w="140" w:type="dxa"/>
              <w:right w:w="140" w:type="dxa"/>
            </w:tcMar>
          </w:tcPr>
          <w:p>
            <w:r>
              <w:rPr>
                <w:b/>
                <w:sz w:val="19"/>
              </w:rPr>
              <w:t>Measured Benchmark Outcome</w:t>
            </w:r>
          </w:p>
        </w:tc>
      </w:tr>
      <w:tr>
        <w:tc>
          <w:tcPr>
            <w:tcW w:type="dxa" w:w="3120"/>
            <w:tcMar>
              <w:top w:w="70" w:type="dxa"/>
              <w:bottom w:w="70" w:type="dxa"/>
              <w:left w:w="120" w:type="dxa"/>
              <w:right w:w="120" w:type="dxa"/>
            </w:tcMar>
            <w:tcBorders>
              <w:bottom w:val="single" w:sz="4" w:space="0" w:color="E2E8F0"/>
            </w:tcBorders>
          </w:tcPr>
          <w:p>
            <w:r>
              <w:rPr>
                <w:b/>
                <w:sz w:val="17"/>
              </w:rPr>
              <w:t>SQL Injection Attack Immunity</w:t>
            </w:r>
          </w:p>
        </w:tc>
        <w:tc>
          <w:tcPr>
            <w:tcW w:type="dxa" w:w="3120"/>
            <w:tcMar>
              <w:top w:w="70" w:type="dxa"/>
              <w:bottom w:w="70" w:type="dxa"/>
              <w:left w:w="120" w:type="dxa"/>
              <w:right w:w="120" w:type="dxa"/>
            </w:tcMar>
            <w:tcBorders>
              <w:bottom w:val="single" w:sz="4" w:space="0" w:color="E2E8F0"/>
            </w:tcBorders>
          </w:tcPr>
          <w:p>
            <w:r>
              <w:rPr>
                <w:sz w:val="17"/>
              </w:rPr>
              <w:t>Malicious union &amp; quote payloads</w:t>
            </w:r>
          </w:p>
        </w:tc>
        <w:tc>
          <w:tcPr>
            <w:tcW w:type="dxa" w:w="3120"/>
            <w:tcMar>
              <w:top w:w="70" w:type="dxa"/>
              <w:bottom w:w="70" w:type="dxa"/>
              <w:left w:w="120" w:type="dxa"/>
              <w:right w:w="120" w:type="dxa"/>
            </w:tcMar>
            <w:tcBorders>
              <w:bottom w:val="single" w:sz="4" w:space="0" w:color="E2E8F0"/>
            </w:tcBorders>
          </w:tcPr>
          <w:p>
            <w:r>
              <w:rPr>
                <w:sz w:val="17"/>
              </w:rPr>
              <w:t>Zero rows returned; 100% immune via parameterization</w:t>
            </w:r>
          </w:p>
        </w:tc>
      </w:tr>
      <w:tr>
        <w:tc>
          <w:tcPr>
            <w:tcW w:type="dxa" w:w="3120"/>
            <w:tcMar>
              <w:top w:w="70" w:type="dxa"/>
              <w:bottom w:w="70" w:type="dxa"/>
              <w:left w:w="120" w:type="dxa"/>
              <w:right w:w="120" w:type="dxa"/>
            </w:tcMar>
            <w:tcBorders>
              <w:bottom w:val="single" w:sz="4" w:space="0" w:color="E2E8F0"/>
            </w:tcBorders>
          </w:tcPr>
          <w:p>
            <w:r>
              <w:rPr>
                <w:b/>
                <w:sz w:val="17"/>
              </w:rPr>
              <w:t>XSS &amp; HTML Injection Sanitization</w:t>
            </w:r>
          </w:p>
        </w:tc>
        <w:tc>
          <w:tcPr>
            <w:tcW w:type="dxa" w:w="3120"/>
            <w:tcMar>
              <w:top w:w="70" w:type="dxa"/>
              <w:bottom w:w="70" w:type="dxa"/>
              <w:left w:w="120" w:type="dxa"/>
              <w:right w:w="120" w:type="dxa"/>
            </w:tcMar>
            <w:tcBorders>
              <w:bottom w:val="single" w:sz="4" w:space="0" w:color="E2E8F0"/>
            </w:tcBorders>
          </w:tcPr>
          <w:p>
            <w:r>
              <w:rPr>
                <w:sz w:val="17"/>
              </w:rPr>
              <w:t>Embedded &lt;script&gt; and &lt;img&gt; tags</w:t>
            </w:r>
          </w:p>
        </w:tc>
        <w:tc>
          <w:tcPr>
            <w:tcW w:type="dxa" w:w="3120"/>
            <w:tcMar>
              <w:top w:w="70" w:type="dxa"/>
              <w:bottom w:w="70" w:type="dxa"/>
              <w:left w:w="120" w:type="dxa"/>
              <w:right w:w="120" w:type="dxa"/>
            </w:tcMar>
            <w:tcBorders>
              <w:bottom w:val="single" w:sz="4" w:space="0" w:color="E2E8F0"/>
            </w:tcBorders>
          </w:tcPr>
          <w:p>
            <w:r>
              <w:rPr>
                <w:sz w:val="17"/>
              </w:rPr>
              <w:t>Tags strictly escaped to &amp;lt;script&amp;gt;; zero XSS execution</w:t>
            </w:r>
          </w:p>
        </w:tc>
      </w:tr>
      <w:tr>
        <w:tc>
          <w:tcPr>
            <w:tcW w:type="dxa" w:w="3120"/>
            <w:tcMar>
              <w:top w:w="70" w:type="dxa"/>
              <w:bottom w:w="70" w:type="dxa"/>
              <w:left w:w="120" w:type="dxa"/>
              <w:right w:w="120" w:type="dxa"/>
            </w:tcMar>
            <w:tcBorders>
              <w:bottom w:val="single" w:sz="4" w:space="0" w:color="E2E8F0"/>
            </w:tcBorders>
          </w:tcPr>
          <w:p>
            <w:r>
              <w:rPr>
                <w:b/>
                <w:sz w:val="17"/>
              </w:rPr>
              <w:t>CAPTCHA Cryptographic Replay</w:t>
            </w:r>
          </w:p>
        </w:tc>
        <w:tc>
          <w:tcPr>
            <w:tcW w:type="dxa" w:w="3120"/>
            <w:tcMar>
              <w:top w:w="70" w:type="dxa"/>
              <w:bottom w:w="70" w:type="dxa"/>
              <w:left w:w="120" w:type="dxa"/>
              <w:right w:w="120" w:type="dxa"/>
            </w:tcMar>
            <w:tcBorders>
              <w:bottom w:val="single" w:sz="4" w:space="0" w:color="E2E8F0"/>
            </w:tcBorders>
          </w:tcPr>
          <w:p>
            <w:r>
              <w:rPr>
                <w:sz w:val="17"/>
              </w:rPr>
              <w:t>Forged signatures &amp; expired timestamps</w:t>
            </w:r>
          </w:p>
        </w:tc>
        <w:tc>
          <w:tcPr>
            <w:tcW w:type="dxa" w:w="3120"/>
            <w:tcMar>
              <w:top w:w="70" w:type="dxa"/>
              <w:bottom w:w="70" w:type="dxa"/>
              <w:left w:w="120" w:type="dxa"/>
              <w:right w:w="120" w:type="dxa"/>
            </w:tcMar>
            <w:tcBorders>
              <w:bottom w:val="single" w:sz="4" w:space="0" w:color="E2E8F0"/>
            </w:tcBorders>
          </w:tcPr>
          <w:p>
            <w:r>
              <w:rPr>
                <w:sz w:val="17"/>
              </w:rPr>
              <w:t>100% rejection of tampered tokens via timing-safe HMAC</w:t>
            </w:r>
          </w:p>
        </w:tc>
      </w:tr>
      <w:tr>
        <w:tc>
          <w:tcPr>
            <w:tcW w:type="dxa" w:w="3120"/>
            <w:tcMar>
              <w:top w:w="70" w:type="dxa"/>
              <w:bottom w:w="70" w:type="dxa"/>
              <w:left w:w="120" w:type="dxa"/>
              <w:right w:w="120" w:type="dxa"/>
            </w:tcMar>
            <w:tcBorders>
              <w:bottom w:val="single" w:sz="4" w:space="0" w:color="E2E8F0"/>
            </w:tcBorders>
          </w:tcPr>
          <w:p>
            <w:r>
              <w:rPr>
                <w:b/>
                <w:sz w:val="17"/>
              </w:rPr>
              <w:t>Template Rendering Throughput</w:t>
            </w:r>
          </w:p>
        </w:tc>
        <w:tc>
          <w:tcPr>
            <w:tcW w:type="dxa" w:w="3120"/>
            <w:tcMar>
              <w:top w:w="70" w:type="dxa"/>
              <w:bottom w:w="70" w:type="dxa"/>
              <w:left w:w="120" w:type="dxa"/>
              <w:right w:w="120" w:type="dxa"/>
            </w:tcMar>
            <w:tcBorders>
              <w:bottom w:val="single" w:sz="4" w:space="0" w:color="E2E8F0"/>
            </w:tcBorders>
          </w:tcPr>
          <w:p>
            <w:r>
              <w:rPr>
                <w:sz w:val="17"/>
              </w:rPr>
              <w:t>10,000 personalizations</w:t>
            </w:r>
          </w:p>
        </w:tc>
        <w:tc>
          <w:tcPr>
            <w:tcW w:type="dxa" w:w="3120"/>
            <w:tcMar>
              <w:top w:w="70" w:type="dxa"/>
              <w:bottom w:w="70" w:type="dxa"/>
              <w:left w:w="120" w:type="dxa"/>
              <w:right w:w="120" w:type="dxa"/>
            </w:tcMar>
            <w:tcBorders>
              <w:bottom w:val="single" w:sz="4" w:space="0" w:color="E2E8F0"/>
            </w:tcBorders>
          </w:tcPr>
          <w:p>
            <w:r>
              <w:rPr>
                <w:sz w:val="17"/>
              </w:rPr>
              <w:t>Completed in 2.082s (4,803 renders/sec)</w:t>
            </w:r>
          </w:p>
        </w:tc>
      </w:tr>
      <w:tr>
        <w:tc>
          <w:tcPr>
            <w:tcW w:type="dxa" w:w="3120"/>
            <w:tcMar>
              <w:top w:w="70" w:type="dxa"/>
              <w:bottom w:w="70" w:type="dxa"/>
              <w:left w:w="120" w:type="dxa"/>
              <w:right w:w="120" w:type="dxa"/>
            </w:tcMar>
            <w:tcBorders>
              <w:bottom w:val="single" w:sz="4" w:space="0" w:color="E2E8F0"/>
            </w:tcBorders>
          </w:tcPr>
          <w:p>
            <w:r>
              <w:rPr>
                <w:b/>
                <w:sz w:val="17"/>
              </w:rPr>
              <w:t>SQLite WAL Concurrency</w:t>
            </w:r>
          </w:p>
        </w:tc>
        <w:tc>
          <w:tcPr>
            <w:tcW w:type="dxa" w:w="3120"/>
            <w:tcMar>
              <w:top w:w="70" w:type="dxa"/>
              <w:bottom w:w="70" w:type="dxa"/>
              <w:left w:w="120" w:type="dxa"/>
              <w:right w:w="120" w:type="dxa"/>
            </w:tcMar>
            <w:tcBorders>
              <w:bottom w:val="single" w:sz="4" w:space="0" w:color="E2E8F0"/>
            </w:tcBorders>
          </w:tcPr>
          <w:p>
            <w:r>
              <w:rPr>
                <w:sz w:val="17"/>
              </w:rPr>
              <w:t>200 concurrent atomic writes</w:t>
            </w:r>
          </w:p>
        </w:tc>
        <w:tc>
          <w:tcPr>
            <w:tcW w:type="dxa" w:w="3120"/>
            <w:tcMar>
              <w:top w:w="70" w:type="dxa"/>
              <w:bottom w:w="70" w:type="dxa"/>
              <w:left w:w="120" w:type="dxa"/>
              <w:right w:w="120" w:type="dxa"/>
            </w:tcMar>
            <w:tcBorders>
              <w:bottom w:val="single" w:sz="4" w:space="0" w:color="E2E8F0"/>
            </w:tcBorders>
          </w:tcPr>
          <w:p>
            <w:r>
              <w:rPr>
                <w:sz w:val="17"/>
              </w:rPr>
              <w:t>0.017s total write duration (12,005 TPS | p50: 0.02ms, p99: 0.96ms)</w:t>
            </w:r>
          </w:p>
        </w:tc>
      </w:tr>
      <w:tr>
        <w:tc>
          <w:tcPr>
            <w:tcW w:type="dxa" w:w="3120"/>
            <w:tcMar>
              <w:top w:w="70" w:type="dxa"/>
              <w:bottom w:w="70" w:type="dxa"/>
              <w:left w:w="120" w:type="dxa"/>
              <w:right w:w="120" w:type="dxa"/>
            </w:tcMar>
            <w:tcBorders>
              <w:bottom w:val="single" w:sz="4" w:space="0" w:color="E2E8F0"/>
            </w:tcBorders>
          </w:tcPr>
          <w:p>
            <w:r>
              <w:rPr>
                <w:b/>
                <w:sz w:val="17"/>
              </w:rPr>
              <w:t>Batch Duplicate Detection Engine</w:t>
            </w:r>
          </w:p>
        </w:tc>
        <w:tc>
          <w:tcPr>
            <w:tcW w:type="dxa" w:w="3120"/>
            <w:tcMar>
              <w:top w:w="70" w:type="dxa"/>
              <w:bottom w:w="70" w:type="dxa"/>
              <w:left w:w="120" w:type="dxa"/>
              <w:right w:w="120" w:type="dxa"/>
            </w:tcMar>
            <w:tcBorders>
              <w:bottom w:val="single" w:sz="4" w:space="0" w:color="E2E8F0"/>
            </w:tcBorders>
          </w:tcPr>
          <w:p>
            <w:r>
              <w:rPr>
                <w:sz w:val="17"/>
              </w:rPr>
              <w:t>500 mixed contact records</w:t>
            </w:r>
          </w:p>
        </w:tc>
        <w:tc>
          <w:tcPr>
            <w:tcW w:type="dxa" w:w="3120"/>
            <w:tcMar>
              <w:top w:w="70" w:type="dxa"/>
              <w:bottom w:w="70" w:type="dxa"/>
              <w:left w:w="120" w:type="dxa"/>
              <w:right w:w="120" w:type="dxa"/>
            </w:tcMar>
            <w:tcBorders>
              <w:bottom w:val="single" w:sz="4" w:space="0" w:color="E2E8F0"/>
            </w:tcBorders>
          </w:tcPr>
          <w:p>
            <w:r>
              <w:rPr>
                <w:sz w:val="17"/>
              </w:rPr>
              <w:t>Resolved in 39.88ms with 100% accuracy</w:t>
            </w:r>
          </w:p>
        </w:tc>
      </w:tr>
      <w:tr>
        <w:tc>
          <w:tcPr>
            <w:tcW w:type="dxa" w:w="3120"/>
            <w:tcMar>
              <w:top w:w="70" w:type="dxa"/>
              <w:bottom w:w="70" w:type="dxa"/>
              <w:left w:w="120" w:type="dxa"/>
              <w:right w:w="120" w:type="dxa"/>
            </w:tcMar>
            <w:tcBorders>
              <w:bottom w:val="single" w:sz="4" w:space="0" w:color="E2E8F0"/>
            </w:tcBorders>
          </w:tcPr>
          <w:p>
            <w:r>
              <w:rPr>
                <w:b/>
                <w:sz w:val="17"/>
              </w:rPr>
              <w:t>Heap Stability &amp; Memory Retention</w:t>
            </w:r>
          </w:p>
        </w:tc>
        <w:tc>
          <w:tcPr>
            <w:tcW w:type="dxa" w:w="3120"/>
            <w:tcMar>
              <w:top w:w="70" w:type="dxa"/>
              <w:bottom w:w="70" w:type="dxa"/>
              <w:left w:w="120" w:type="dxa"/>
              <w:right w:w="120" w:type="dxa"/>
            </w:tcMar>
            <w:tcBorders>
              <w:bottom w:val="single" w:sz="4" w:space="0" w:color="E2E8F0"/>
            </w:tcBorders>
          </w:tcPr>
          <w:p>
            <w:r>
              <w:rPr>
                <w:sz w:val="17"/>
              </w:rPr>
              <w:t>10,000 consecutive operations</w:t>
            </w:r>
          </w:p>
        </w:tc>
        <w:tc>
          <w:tcPr>
            <w:tcW w:type="dxa" w:w="3120"/>
            <w:tcMar>
              <w:top w:w="70" w:type="dxa"/>
              <w:bottom w:w="70" w:type="dxa"/>
              <w:left w:w="120" w:type="dxa"/>
              <w:right w:w="120" w:type="dxa"/>
            </w:tcMar>
            <w:tcBorders>
              <w:bottom w:val="single" w:sz="4" w:space="0" w:color="E2E8F0"/>
            </w:tcBorders>
          </w:tcPr>
          <w:p>
            <w:r>
              <w:rPr>
                <w:sz w:val="17"/>
              </w:rPr>
              <w:t>Zero memory leak; garbage collection stable</w:t>
            </w:r>
          </w:p>
        </w:tc>
      </w:tr>
    </w:tbl>
    <w:p>
      <w:r>
        <w:br w:type="page"/>
      </w:r>
    </w:p>
    <w:p>
      <w:pPr>
        <w:pStyle w:val="Heading1"/>
        <w:keepNext/>
        <w:spacing w:before="360" w:after="120"/>
      </w:pPr>
      <w:r>
        <w:rPr>
          <w:rFonts w:ascii="Calibri" w:hAnsi="Calibri"/>
          <w:b/>
          <w:color w:val="0F172A"/>
        </w:rPr>
        <w:t>6. Live Application Showcase (Original Website Screenshots)</w:t>
      </w:r>
    </w:p>
    <w:p>
      <w:r>
        <w:t xml:space="preserve">All screen captures presented below are </w:t>
      </w:r>
      <w:r>
        <w:rPr>
          <w:b/>
        </w:rPr>
        <w:t>100% authentic, ungenerated screenshots</w:t>
      </w:r>
      <w:r>
        <w:t xml:space="preserve"> captured directly from the live running web application using automated browser DevTools instrumentation.</w:t>
      </w:r>
    </w:p>
    <w:p>
      <w:pPr>
        <w:pStyle w:val="Heading2"/>
        <w:keepNext/>
        <w:spacing w:before="280" w:after="80"/>
      </w:pPr>
      <w:r>
        <w:rPr>
          <w:rFonts w:ascii="Calibri" w:hAnsi="Calibri"/>
          <w:b/>
          <w:color w:val="BE123C"/>
        </w:rPr>
        <w:t>6.1 Secure Authentication Gateway &amp; Cryptographic CAPTCHA</w:t>
      </w:r>
    </w:p>
    <w:p>
      <w:pPr>
        <w:spacing w:before="120" w:after="80"/>
        <w:jc w:val="center"/>
      </w:pPr>
      <w:r>
        <w:drawing>
          <wp:inline xmlns:a="http://schemas.openxmlformats.org/drawingml/2006/main" xmlns:pic="http://schemas.openxmlformats.org/drawingml/2006/picture">
            <wp:extent cx="5669280" cy="3622040"/>
            <wp:docPr id="2" name="Picture 2"/>
            <wp:cNvGraphicFramePr>
              <a:graphicFrameLocks noChangeAspect="1"/>
            </wp:cNvGraphicFramePr>
            <a:graphic>
              <a:graphicData uri="http://schemas.openxmlformats.org/drawingml/2006/picture">
                <pic:pic>
                  <pic:nvPicPr>
                    <pic:cNvPr id="0" name="real_login_page.png"/>
                    <pic:cNvPicPr/>
                  </pic:nvPicPr>
                  <pic:blipFill>
                    <a:blip r:embed="rId10"/>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1: Authentic Login Interface displaying Shortfundly OTT Marketplace branding, secure credential inputs, procedural noise SVG CAPTCHA with refresh trigger, and enterprise cybersecurity indicators.</w:t>
      </w:r>
    </w:p>
    <w:p>
      <w:pPr>
        <w:pStyle w:val="Heading2"/>
        <w:keepNext/>
        <w:spacing w:before="280" w:after="80"/>
      </w:pPr>
      <w:r>
        <w:rPr>
          <w:rFonts w:ascii="Calibri" w:hAnsi="Calibri"/>
          <w:b/>
          <w:color w:val="BE123C"/>
        </w:rPr>
        <w:t>6.2 Campus Outreach Command Center (Executive Dashboard)</w:t>
      </w:r>
    </w:p>
    <w:p>
      <w:pPr>
        <w:spacing w:before="120" w:after="80"/>
        <w:jc w:val="center"/>
      </w:pPr>
      <w:r>
        <w:drawing>
          <wp:inline xmlns:a="http://schemas.openxmlformats.org/drawingml/2006/main" xmlns:pic="http://schemas.openxmlformats.org/drawingml/2006/picture">
            <wp:extent cx="5669280" cy="3622040"/>
            <wp:docPr id="3" name="Picture 3"/>
            <wp:cNvGraphicFramePr>
              <a:graphicFrameLocks noChangeAspect="1"/>
            </wp:cNvGraphicFramePr>
            <a:graphic>
              <a:graphicData uri="http://schemas.openxmlformats.org/drawingml/2006/picture">
                <pic:pic>
                  <pic:nvPicPr>
                    <pic:cNvPr id="0" name="real_dashboard_overview.png"/>
                    <pic:cNvPicPr/>
                  </pic:nvPicPr>
                  <pic:blipFill>
                    <a:blip r:embed="rId11"/>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2: Executive Dashboard displaying live real-time KPI metrics (Total Outreach: 2, SMTP Accepted: 2, Failed Attempts: 0), active connectivity indicators (SQLite Active, Google SMTP), and the genuine campus outreach delivery ledger.</w:t>
      </w:r>
    </w:p>
    <w:p>
      <w:pPr>
        <w:pStyle w:val="Heading2"/>
        <w:keepNext/>
        <w:spacing w:before="280" w:after="80"/>
      </w:pPr>
      <w:r>
        <w:rPr>
          <w:rFonts w:ascii="Calibri" w:hAnsi="Calibri"/>
          <w:b/>
          <w:color w:val="BE123C"/>
        </w:rPr>
        <w:t>6.3 Single Manual Outreach Dispatcher</w:t>
      </w:r>
    </w:p>
    <w:p>
      <w:pPr>
        <w:spacing w:before="120" w:after="80"/>
        <w:jc w:val="center"/>
      </w:pPr>
      <w:r>
        <w:drawing>
          <wp:inline xmlns:a="http://schemas.openxmlformats.org/drawingml/2006/main" xmlns:pic="http://schemas.openxmlformats.org/drawingml/2006/picture">
            <wp:extent cx="5669280" cy="3622040"/>
            <wp:docPr id="4" name="Picture 4"/>
            <wp:cNvGraphicFramePr>
              <a:graphicFrameLocks noChangeAspect="1"/>
            </wp:cNvGraphicFramePr>
            <a:graphic>
              <a:graphicData uri="http://schemas.openxmlformats.org/drawingml/2006/picture">
                <pic:pic>
                  <pic:nvPicPr>
                    <pic:cNvPr id="0" name="real_manual_outreach.png"/>
                    <pic:cNvPicPr/>
                  </pic:nvPicPr>
                  <pic:blipFill>
                    <a:blip r:embed="rId12"/>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3: Target Institution Single Outreach Form with real-time field validation, recipient contact targeting, template selection, and pre-dispatch email review trigger.</w:t>
      </w:r>
    </w:p>
    <w:p>
      <w:pPr>
        <w:pStyle w:val="Heading2"/>
        <w:keepNext/>
        <w:spacing w:before="280" w:after="80"/>
      </w:pPr>
      <w:r>
        <w:rPr>
          <w:rFonts w:ascii="Calibri" w:hAnsi="Calibri"/>
          <w:b/>
          <w:color w:val="BE123C"/>
        </w:rPr>
        <w:t>6.4.1 Unstress Bulk Campaign Panel &amp; 1-Click AP Master Directory Loader</w:t>
      </w:r>
    </w:p>
    <w:p>
      <w:pPr>
        <w:spacing w:before="120" w:after="80"/>
        <w:jc w:val="center"/>
      </w:pPr>
      <w:r>
        <w:drawing>
          <wp:inline xmlns:a="http://schemas.openxmlformats.org/drawingml/2006/main" xmlns:pic="http://schemas.openxmlformats.org/drawingml/2006/picture">
            <wp:extent cx="5669280" cy="3720465"/>
            <wp:docPr id="5" name="Picture 5"/>
            <wp:cNvGraphicFramePr>
              <a:graphicFrameLocks noChangeAspect="1"/>
            </wp:cNvGraphicFramePr>
            <a:graphic>
              <a:graphicData uri="http://schemas.openxmlformats.org/drawingml/2006/picture">
                <pic:pic>
                  <pic:nvPicPr>
                    <pic:cNvPr id="0" name="real_unstress_bulk_campaign_panel.png"/>
                    <pic:cNvPicPr/>
                  </pic:nvPicPr>
                  <pic:blipFill>
                    <a:blip r:embed="rId13"/>
                    <a:stretch>
                      <a:fillRect/>
                    </a:stretch>
                  </pic:blipFill>
                  <pic:spPr>
                    <a:xfrm>
                      <a:off x="0" y="0"/>
                      <a:ext cx="5669280" cy="3720465"/>
                    </a:xfrm>
                    <a:prstGeom prst="rect"/>
                  </pic:spPr>
                </pic:pic>
              </a:graphicData>
            </a:graphic>
          </wp:inline>
        </w:drawing>
      </w:r>
    </w:p>
    <w:p>
      <w:pPr>
        <w:spacing w:before="0" w:after="280"/>
        <w:jc w:val="center"/>
      </w:pPr>
      <w:r>
        <w:rPr>
          <w:i/>
          <w:color w:val="64748B"/>
          <w:sz w:val="17"/>
        </w:rPr>
        <w:t>Figure 4a: Upgraded Unstress Bulk Outreach Panel displaying 1-click built-in Andhra Pradesh Master Directory loader (1,832 colleges), categorized sheet tabs, and smart multi-attribute campaign filters.</w:t>
      </w:r>
    </w:p>
    <w:p>
      <w:pPr>
        <w:pStyle w:val="Heading2"/>
        <w:keepNext/>
        <w:spacing w:before="280" w:after="80"/>
      </w:pPr>
      <w:r>
        <w:rPr>
          <w:rFonts w:ascii="Calibri" w:hAnsi="Calibri"/>
          <w:b/>
          <w:color w:val="BE123C"/>
        </w:rPr>
        <w:t>6.4.2 Auto-Separated Safe Batches &amp; Institutional Recipients Audit Table</w:t>
      </w:r>
    </w:p>
    <w:p>
      <w:pPr>
        <w:spacing w:before="120" w:after="80"/>
        <w:jc w:val="center"/>
      </w:pPr>
      <w:r>
        <w:drawing>
          <wp:inline xmlns:a="http://schemas.openxmlformats.org/drawingml/2006/main" xmlns:pic="http://schemas.openxmlformats.org/drawingml/2006/picture">
            <wp:extent cx="5669280" cy="3720465"/>
            <wp:docPr id="6" name="Picture 6"/>
            <wp:cNvGraphicFramePr>
              <a:graphicFrameLocks noChangeAspect="1"/>
            </wp:cNvGraphicFramePr>
            <a:graphic>
              <a:graphicData uri="http://schemas.openxmlformats.org/drawingml/2006/picture">
                <pic:pic>
                  <pic:nvPicPr>
                    <pic:cNvPr id="0" name="real_unstress_batches_and_table.png"/>
                    <pic:cNvPicPr/>
                  </pic:nvPicPr>
                  <pic:blipFill>
                    <a:blip r:embed="rId14"/>
                    <a:stretch>
                      <a:fillRect/>
                    </a:stretch>
                  </pic:blipFill>
                  <pic:spPr>
                    <a:xfrm>
                      <a:off x="0" y="0"/>
                      <a:ext cx="5669280" cy="3720465"/>
                    </a:xfrm>
                    <a:prstGeom prst="rect"/>
                  </pic:spPr>
                </pic:pic>
              </a:graphicData>
            </a:graphic>
          </wp:inline>
        </w:drawing>
      </w:r>
    </w:p>
    <w:p>
      <w:pPr>
        <w:spacing w:before="0" w:after="280"/>
        <w:jc w:val="center"/>
      </w:pPr>
      <w:r>
        <w:rPr>
          <w:i/>
          <w:color w:val="64748B"/>
          <w:sz w:val="17"/>
        </w:rPr>
        <w:t>Figure 4b: Auto-Separated Safe Batch Engine displaying horizontal batch selector pills, anti-spam cooling timer controls, and verified institutional recipients audit table.</w:t>
      </w:r>
    </w:p>
    <w:p>
      <w:pPr>
        <w:pStyle w:val="Heading2"/>
        <w:keepNext/>
        <w:spacing w:before="280" w:after="80"/>
      </w:pPr>
      <w:r>
        <w:rPr>
          <w:rFonts w:ascii="Calibri" w:hAnsi="Calibri"/>
          <w:b/>
          <w:color w:val="BE123C"/>
        </w:rPr>
        <w:t>6.4.3 Custom Spreadsheet &amp; CSV Dropzone Importer</w:t>
      </w:r>
    </w:p>
    <w:p>
      <w:pPr>
        <w:spacing w:before="120" w:after="80"/>
        <w:jc w:val="center"/>
      </w:pPr>
      <w:r>
        <w:drawing>
          <wp:inline xmlns:a="http://schemas.openxmlformats.org/drawingml/2006/main" xmlns:pic="http://schemas.openxmlformats.org/drawingml/2006/picture">
            <wp:extent cx="5669280" cy="3622040"/>
            <wp:docPr id="7" name="Picture 7"/>
            <wp:cNvGraphicFramePr>
              <a:graphicFrameLocks noChangeAspect="1"/>
            </wp:cNvGraphicFramePr>
            <a:graphic>
              <a:graphicData uri="http://schemas.openxmlformats.org/drawingml/2006/picture">
                <pic:pic>
                  <pic:nvPicPr>
                    <pic:cNvPr id="0" name="real_bulk_campaign.png"/>
                    <pic:cNvPicPr/>
                  </pic:nvPicPr>
                  <pic:blipFill>
                    <a:blip r:embed="rId15"/>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4c: Custom Spreadsheet Importer supporting external CSV/Excel ingestion with instant deduplication and schema normalization.</w:t>
      </w:r>
    </w:p>
    <w:p>
      <w:pPr>
        <w:pStyle w:val="Heading2"/>
        <w:keepNext/>
        <w:spacing w:before="280" w:after="80"/>
      </w:pPr>
      <w:r>
        <w:rPr>
          <w:rFonts w:ascii="Calibri" w:hAnsi="Calibri"/>
          <w:b/>
          <w:color w:val="BE123C"/>
        </w:rPr>
        <w:t>6.5 Outreach Email Templates Manager</w:t>
      </w:r>
    </w:p>
    <w:p>
      <w:pPr>
        <w:spacing w:before="120" w:after="80"/>
        <w:jc w:val="center"/>
      </w:pPr>
      <w:r>
        <w:drawing>
          <wp:inline xmlns:a="http://schemas.openxmlformats.org/drawingml/2006/main" xmlns:pic="http://schemas.openxmlformats.org/drawingml/2006/picture">
            <wp:extent cx="5669280" cy="3622040"/>
            <wp:docPr id="8" name="Picture 8"/>
            <wp:cNvGraphicFramePr>
              <a:graphicFrameLocks noChangeAspect="1"/>
            </wp:cNvGraphicFramePr>
            <a:graphic>
              <a:graphicData uri="http://schemas.openxmlformats.org/drawingml/2006/picture">
                <pic:pic>
                  <pic:nvPicPr>
                    <pic:cNvPr id="0" name="real_templates_manager.png"/>
                    <pic:cNvPicPr/>
                  </pic:nvPicPr>
                  <pic:blipFill>
                    <a:blip r:embed="rId16"/>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5: Shortfundly Official Template Library displaying standardized institutional proposals, campus ambassador chapter invitations, and template editing/preview controls.</w:t>
      </w:r>
    </w:p>
    <w:p>
      <w:pPr>
        <w:pStyle w:val="Heading2"/>
        <w:keepNext/>
        <w:spacing w:before="280" w:after="80"/>
      </w:pPr>
      <w:r>
        <w:rPr>
          <w:rFonts w:ascii="Calibri" w:hAnsi="Calibri"/>
          <w:b/>
          <w:color w:val="BE123C"/>
        </w:rPr>
        <w:t>6.6 System Settings &amp; Google SMTP Gateway Configuration</w:t>
      </w:r>
    </w:p>
    <w:p>
      <w:pPr>
        <w:spacing w:before="120" w:after="80"/>
        <w:jc w:val="center"/>
      </w:pPr>
      <w:r>
        <w:drawing>
          <wp:inline xmlns:a="http://schemas.openxmlformats.org/drawingml/2006/main" xmlns:pic="http://schemas.openxmlformats.org/drawingml/2006/picture">
            <wp:extent cx="5669280" cy="3622040"/>
            <wp:docPr id="9" name="Picture 9"/>
            <wp:cNvGraphicFramePr>
              <a:graphicFrameLocks noChangeAspect="1"/>
            </wp:cNvGraphicFramePr>
            <a:graphic>
              <a:graphicData uri="http://schemas.openxmlformats.org/drawingml/2006/picture">
                <pic:pic>
                  <pic:nvPicPr>
                    <pic:cNvPr id="0" name="real_smtp_settings.png"/>
                    <pic:cNvPicPr/>
                  </pic:nvPicPr>
                  <pic:blipFill>
                    <a:blip r:embed="rId17"/>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6: System Administration &amp; Settings Console showing live Google SMTP transport configuration (smtp.gmail.com:465 SSL), masked App Password, and sender display names.</w:t>
      </w:r>
    </w:p>
    <w:p>
      <w:pPr>
        <w:pStyle w:val="Heading2"/>
        <w:keepNext/>
        <w:spacing w:before="280" w:after="80"/>
      </w:pPr>
      <w:r>
        <w:rPr>
          <w:rFonts w:ascii="Calibri" w:hAnsi="Calibri"/>
          <w:b/>
          <w:color w:val="BE123C"/>
        </w:rPr>
        <w:t>6.7 Live Google SMTP Diagnostics &amp; Health Engine Modal</w:t>
      </w:r>
    </w:p>
    <w:p>
      <w:pPr>
        <w:spacing w:before="120" w:after="80"/>
        <w:jc w:val="center"/>
      </w:pPr>
      <w:r>
        <w:drawing>
          <wp:inline xmlns:a="http://schemas.openxmlformats.org/drawingml/2006/main" xmlns:pic="http://schemas.openxmlformats.org/drawingml/2006/picture">
            <wp:extent cx="5669280" cy="3622040"/>
            <wp:docPr id="10" name="Picture 10"/>
            <wp:cNvGraphicFramePr>
              <a:graphicFrameLocks noChangeAspect="1"/>
            </wp:cNvGraphicFramePr>
            <a:graphic>
              <a:graphicData uri="http://schemas.openxmlformats.org/drawingml/2006/picture">
                <pic:pic>
                  <pic:nvPicPr>
                    <pic:cNvPr id="0" name="real_smtp_diagnostics_modal.png"/>
                    <pic:cNvPicPr/>
                  </pic:nvPicPr>
                  <pic:blipFill>
                    <a:blip r:embed="rId18"/>
                    <a:stretch>
                      <a:fillRect/>
                    </a:stretch>
                  </pic:blipFill>
                  <pic:spPr>
                    <a:xfrm>
                      <a:off x="0" y="0"/>
                      <a:ext cx="5669280" cy="3622040"/>
                    </a:xfrm>
                    <a:prstGeom prst="rect"/>
                  </pic:spPr>
                </pic:pic>
              </a:graphicData>
            </a:graphic>
          </wp:inline>
        </w:drawing>
      </w:r>
    </w:p>
    <w:p>
      <w:pPr>
        <w:spacing w:before="0" w:after="280"/>
        <w:jc w:val="center"/>
      </w:pPr>
      <w:r>
        <w:rPr>
          <w:i/>
          <w:color w:val="64748B"/>
          <w:sz w:val="17"/>
        </w:rPr>
        <w:t>Figure 7: Live Google SMTP Diagnostics Modal displaying handshake verification over port 465, direct Nodemailer engine transport status, and Google Workspace deliverability guidelines.</w:t>
      </w:r>
    </w:p>
    <w:p>
      <w:r>
        <w:br w:type="page"/>
      </w:r>
    </w:p>
    <w:p>
      <w:pPr>
        <w:pStyle w:val="Heading1"/>
        <w:keepNext/>
        <w:spacing w:before="360" w:after="120"/>
      </w:pPr>
      <w:r>
        <w:rPr>
          <w:rFonts w:ascii="Calibri" w:hAnsi="Calibri"/>
          <w:b/>
          <w:color w:val="0F172A"/>
        </w:rPr>
        <w:t>7. Deployment &amp; Operations Guide</w:t>
      </w:r>
    </w:p>
    <w:p>
      <w:pPr>
        <w:pStyle w:val="Heading2"/>
        <w:keepNext/>
        <w:spacing w:before="280" w:after="80"/>
      </w:pPr>
      <w:r>
        <w:rPr>
          <w:rFonts w:ascii="Calibri" w:hAnsi="Calibri"/>
          <w:b/>
          <w:color w:val="BE123C"/>
        </w:rPr>
        <w:t>7.1 Environment Variables Configuration (.env.local)</w:t>
      </w:r>
    </w:p>
    <w:p>
      <w:r>
        <w:t>Configure the application environment using the following parameters:</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00" w:type="dxa"/>
              <w:bottom w:w="100" w:type="dxa"/>
              <w:left w:w="140" w:type="dxa"/>
              <w:right w:w="140" w:type="dxa"/>
            </w:tcMar>
          </w:tcPr>
          <w:p>
            <w:r>
              <w:rPr>
                <w:b/>
                <w:sz w:val="19"/>
              </w:rPr>
              <w:t>Variable Name</w:t>
            </w:r>
          </w:p>
        </w:tc>
        <w:tc>
          <w:tcPr>
            <w:tcW w:type="dxa" w:w="3120"/>
            <w:shd w:fill="F1F5F9"/>
            <w:tcMar>
              <w:top w:w="100" w:type="dxa"/>
              <w:bottom w:w="100" w:type="dxa"/>
              <w:left w:w="140" w:type="dxa"/>
              <w:right w:w="140" w:type="dxa"/>
            </w:tcMar>
          </w:tcPr>
          <w:p>
            <w:r>
              <w:rPr>
                <w:b/>
                <w:sz w:val="19"/>
              </w:rPr>
              <w:t>Recommended Production Value</w:t>
            </w:r>
          </w:p>
        </w:tc>
        <w:tc>
          <w:tcPr>
            <w:tcW w:type="dxa" w:w="3120"/>
            <w:shd w:fill="F1F5F9"/>
            <w:tcMar>
              <w:top w:w="100" w:type="dxa"/>
              <w:bottom w:w="100" w:type="dxa"/>
              <w:left w:w="140" w:type="dxa"/>
              <w:right w:w="140" w:type="dxa"/>
            </w:tcMar>
          </w:tcPr>
          <w:p>
            <w:r>
              <w:rPr>
                <w:b/>
                <w:sz w:val="19"/>
              </w:rPr>
              <w:t>Description</w:t>
            </w:r>
          </w:p>
        </w:tc>
      </w:tr>
      <w:tr>
        <w:tc>
          <w:tcPr>
            <w:tcW w:type="dxa" w:w="3120"/>
            <w:tcMar>
              <w:top w:w="70" w:type="dxa"/>
              <w:bottom w:w="70" w:type="dxa"/>
              <w:left w:w="120" w:type="dxa"/>
              <w:right w:w="120" w:type="dxa"/>
            </w:tcMar>
            <w:tcBorders>
              <w:bottom w:val="single" w:sz="4" w:space="0" w:color="E2E8F0"/>
            </w:tcBorders>
          </w:tcPr>
          <w:p>
            <w:r>
              <w:rPr>
                <w:b/>
                <w:sz w:val="17"/>
              </w:rPr>
              <w:t>NODE_ENV</w:t>
            </w:r>
          </w:p>
        </w:tc>
        <w:tc>
          <w:tcPr>
            <w:tcW w:type="dxa" w:w="3120"/>
            <w:tcMar>
              <w:top w:w="70" w:type="dxa"/>
              <w:bottom w:w="70" w:type="dxa"/>
              <w:left w:w="120" w:type="dxa"/>
              <w:right w:w="120" w:type="dxa"/>
            </w:tcMar>
            <w:tcBorders>
              <w:bottom w:val="single" w:sz="4" w:space="0" w:color="E2E8F0"/>
            </w:tcBorders>
          </w:tcPr>
          <w:p>
            <w:r>
              <w:rPr>
                <w:sz w:val="17"/>
              </w:rPr>
              <w:t>production</w:t>
            </w:r>
          </w:p>
        </w:tc>
        <w:tc>
          <w:tcPr>
            <w:tcW w:type="dxa" w:w="3120"/>
            <w:tcMar>
              <w:top w:w="70" w:type="dxa"/>
              <w:bottom w:w="70" w:type="dxa"/>
              <w:left w:w="120" w:type="dxa"/>
              <w:right w:w="120" w:type="dxa"/>
            </w:tcMar>
            <w:tcBorders>
              <w:bottom w:val="single" w:sz="4" w:space="0" w:color="E2E8F0"/>
            </w:tcBorders>
          </w:tcPr>
          <w:p>
            <w:r>
              <w:rPr>
                <w:sz w:val="17"/>
              </w:rPr>
              <w:t>Production optimization mode for Next.js.</w:t>
            </w:r>
          </w:p>
        </w:tc>
      </w:tr>
      <w:tr>
        <w:tc>
          <w:tcPr>
            <w:tcW w:type="dxa" w:w="3120"/>
            <w:tcMar>
              <w:top w:w="70" w:type="dxa"/>
              <w:bottom w:w="70" w:type="dxa"/>
              <w:left w:w="120" w:type="dxa"/>
              <w:right w:w="120" w:type="dxa"/>
            </w:tcMar>
            <w:tcBorders>
              <w:bottom w:val="single" w:sz="4" w:space="0" w:color="E2E8F0"/>
            </w:tcBorders>
          </w:tcPr>
          <w:p>
            <w:r>
              <w:rPr>
                <w:b/>
                <w:sz w:val="17"/>
              </w:rPr>
              <w:t>JWT_SECRET</w:t>
            </w:r>
          </w:p>
        </w:tc>
        <w:tc>
          <w:tcPr>
            <w:tcW w:type="dxa" w:w="3120"/>
            <w:tcMar>
              <w:top w:w="70" w:type="dxa"/>
              <w:bottom w:w="70" w:type="dxa"/>
              <w:left w:w="120" w:type="dxa"/>
              <w:right w:w="120" w:type="dxa"/>
            </w:tcMar>
            <w:tcBorders>
              <w:bottom w:val="single" w:sz="4" w:space="0" w:color="E2E8F0"/>
            </w:tcBorders>
          </w:tcPr>
          <w:p>
            <w:r>
              <w:rPr>
                <w:sz w:val="17"/>
              </w:rPr>
              <w:t>32+ char cryptographic secret</w:t>
            </w:r>
          </w:p>
        </w:tc>
        <w:tc>
          <w:tcPr>
            <w:tcW w:type="dxa" w:w="3120"/>
            <w:tcMar>
              <w:top w:w="70" w:type="dxa"/>
              <w:bottom w:w="70" w:type="dxa"/>
              <w:left w:w="120" w:type="dxa"/>
              <w:right w:w="120" w:type="dxa"/>
            </w:tcMar>
            <w:tcBorders>
              <w:bottom w:val="single" w:sz="4" w:space="0" w:color="E2E8F0"/>
            </w:tcBorders>
          </w:tcPr>
          <w:p>
            <w:r>
              <w:rPr>
                <w:sz w:val="17"/>
              </w:rPr>
              <w:t>Used for signing and verifying user session tokens.</w:t>
            </w:r>
          </w:p>
        </w:tc>
      </w:tr>
      <w:tr>
        <w:tc>
          <w:tcPr>
            <w:tcW w:type="dxa" w:w="3120"/>
            <w:tcMar>
              <w:top w:w="70" w:type="dxa"/>
              <w:bottom w:w="70" w:type="dxa"/>
              <w:left w:w="120" w:type="dxa"/>
              <w:right w:w="120" w:type="dxa"/>
            </w:tcMar>
            <w:tcBorders>
              <w:bottom w:val="single" w:sz="4" w:space="0" w:color="E2E8F0"/>
            </w:tcBorders>
          </w:tcPr>
          <w:p>
            <w:r>
              <w:rPr>
                <w:b/>
                <w:sz w:val="17"/>
              </w:rPr>
              <w:t>ADMIN_EMAIL</w:t>
            </w:r>
          </w:p>
        </w:tc>
        <w:tc>
          <w:tcPr>
            <w:tcW w:type="dxa" w:w="3120"/>
            <w:tcMar>
              <w:top w:w="70" w:type="dxa"/>
              <w:bottom w:w="70" w:type="dxa"/>
              <w:left w:w="120" w:type="dxa"/>
              <w:right w:w="120" w:type="dxa"/>
            </w:tcMar>
            <w:tcBorders>
              <w:bottom w:val="single" w:sz="4" w:space="0" w:color="E2E8F0"/>
            </w:tcBorders>
          </w:tcPr>
          <w:p>
            <w:r>
              <w:rPr>
                <w:sz w:val="17"/>
              </w:rPr>
              <w:t>campus@shortfundly.com</w:t>
            </w:r>
          </w:p>
        </w:tc>
        <w:tc>
          <w:tcPr>
            <w:tcW w:type="dxa" w:w="3120"/>
            <w:tcMar>
              <w:top w:w="70" w:type="dxa"/>
              <w:bottom w:w="70" w:type="dxa"/>
              <w:left w:w="120" w:type="dxa"/>
              <w:right w:w="120" w:type="dxa"/>
            </w:tcMar>
            <w:tcBorders>
              <w:bottom w:val="single" w:sz="4" w:space="0" w:color="E2E8F0"/>
            </w:tcBorders>
          </w:tcPr>
          <w:p>
            <w:r>
              <w:rPr>
                <w:sz w:val="17"/>
              </w:rPr>
              <w:t>Bootstrap administrator account email.</w:t>
            </w:r>
          </w:p>
        </w:tc>
      </w:tr>
      <w:tr>
        <w:tc>
          <w:tcPr>
            <w:tcW w:type="dxa" w:w="3120"/>
            <w:tcMar>
              <w:top w:w="70" w:type="dxa"/>
              <w:bottom w:w="70" w:type="dxa"/>
              <w:left w:w="120" w:type="dxa"/>
              <w:right w:w="120" w:type="dxa"/>
            </w:tcMar>
            <w:tcBorders>
              <w:bottom w:val="single" w:sz="4" w:space="0" w:color="E2E8F0"/>
            </w:tcBorders>
          </w:tcPr>
          <w:p>
            <w:r>
              <w:rPr>
                <w:b/>
                <w:sz w:val="17"/>
              </w:rPr>
              <w:t>ADMIN_PASSWORD</w:t>
            </w:r>
          </w:p>
        </w:tc>
        <w:tc>
          <w:tcPr>
            <w:tcW w:type="dxa" w:w="3120"/>
            <w:tcMar>
              <w:top w:w="70" w:type="dxa"/>
              <w:bottom w:w="70" w:type="dxa"/>
              <w:left w:w="120" w:type="dxa"/>
              <w:right w:w="120" w:type="dxa"/>
            </w:tcMar>
            <w:tcBorders>
              <w:bottom w:val="single" w:sz="4" w:space="0" w:color="E2E8F0"/>
            </w:tcBorders>
          </w:tcPr>
          <w:p>
            <w:r>
              <w:rPr>
                <w:sz w:val="17"/>
              </w:rPr>
              <w:t>Configurable complex password</w:t>
            </w:r>
          </w:p>
        </w:tc>
        <w:tc>
          <w:tcPr>
            <w:tcW w:type="dxa" w:w="3120"/>
            <w:tcMar>
              <w:top w:w="70" w:type="dxa"/>
              <w:bottom w:w="70" w:type="dxa"/>
              <w:left w:w="120" w:type="dxa"/>
              <w:right w:w="120" w:type="dxa"/>
            </w:tcMar>
            <w:tcBorders>
              <w:bottom w:val="single" w:sz="4" w:space="0" w:color="E2E8F0"/>
            </w:tcBorders>
          </w:tcPr>
          <w:p>
            <w:r>
              <w:rPr>
                <w:sz w:val="17"/>
              </w:rPr>
              <w:t>Initial admin password hashed via bcrypt (12 rounds).</w:t>
            </w:r>
          </w:p>
        </w:tc>
      </w:tr>
      <w:tr>
        <w:tc>
          <w:tcPr>
            <w:tcW w:type="dxa" w:w="3120"/>
            <w:tcMar>
              <w:top w:w="70" w:type="dxa"/>
              <w:bottom w:w="70" w:type="dxa"/>
              <w:left w:w="120" w:type="dxa"/>
              <w:right w:w="120" w:type="dxa"/>
            </w:tcMar>
            <w:tcBorders>
              <w:bottom w:val="single" w:sz="4" w:space="0" w:color="E2E8F0"/>
            </w:tcBorders>
          </w:tcPr>
          <w:p>
            <w:r>
              <w:rPr>
                <w:b/>
                <w:sz w:val="17"/>
              </w:rPr>
              <w:t>SMTP_HOST</w:t>
            </w:r>
          </w:p>
        </w:tc>
        <w:tc>
          <w:tcPr>
            <w:tcW w:type="dxa" w:w="3120"/>
            <w:tcMar>
              <w:top w:w="70" w:type="dxa"/>
              <w:bottom w:w="70" w:type="dxa"/>
              <w:left w:w="120" w:type="dxa"/>
              <w:right w:w="120" w:type="dxa"/>
            </w:tcMar>
            <w:tcBorders>
              <w:bottom w:val="single" w:sz="4" w:space="0" w:color="E2E8F0"/>
            </w:tcBorders>
          </w:tcPr>
          <w:p>
            <w:r>
              <w:rPr>
                <w:sz w:val="17"/>
              </w:rPr>
              <w:t>smtp.gmail.com</w:t>
            </w:r>
          </w:p>
        </w:tc>
        <w:tc>
          <w:tcPr>
            <w:tcW w:type="dxa" w:w="3120"/>
            <w:tcMar>
              <w:top w:w="70" w:type="dxa"/>
              <w:bottom w:w="70" w:type="dxa"/>
              <w:left w:w="120" w:type="dxa"/>
              <w:right w:w="120" w:type="dxa"/>
            </w:tcMar>
            <w:tcBorders>
              <w:bottom w:val="single" w:sz="4" w:space="0" w:color="E2E8F0"/>
            </w:tcBorders>
          </w:tcPr>
          <w:p>
            <w:r>
              <w:rPr>
                <w:sz w:val="17"/>
              </w:rPr>
              <w:t>Google production mail server.</w:t>
            </w:r>
          </w:p>
        </w:tc>
      </w:tr>
      <w:tr>
        <w:tc>
          <w:tcPr>
            <w:tcW w:type="dxa" w:w="3120"/>
            <w:tcMar>
              <w:top w:w="70" w:type="dxa"/>
              <w:bottom w:w="70" w:type="dxa"/>
              <w:left w:w="120" w:type="dxa"/>
              <w:right w:w="120" w:type="dxa"/>
            </w:tcMar>
            <w:tcBorders>
              <w:bottom w:val="single" w:sz="4" w:space="0" w:color="E2E8F0"/>
            </w:tcBorders>
          </w:tcPr>
          <w:p>
            <w:r>
              <w:rPr>
                <w:b/>
                <w:sz w:val="17"/>
              </w:rPr>
              <w:t>SMTP_PORT</w:t>
            </w:r>
          </w:p>
        </w:tc>
        <w:tc>
          <w:tcPr>
            <w:tcW w:type="dxa" w:w="3120"/>
            <w:tcMar>
              <w:top w:w="70" w:type="dxa"/>
              <w:bottom w:w="70" w:type="dxa"/>
              <w:left w:w="120" w:type="dxa"/>
              <w:right w:w="120" w:type="dxa"/>
            </w:tcMar>
            <w:tcBorders>
              <w:bottom w:val="single" w:sz="4" w:space="0" w:color="E2E8F0"/>
            </w:tcBorders>
          </w:tcPr>
          <w:p>
            <w:r>
              <w:rPr>
                <w:sz w:val="17"/>
              </w:rPr>
              <w:t>465</w:t>
            </w:r>
          </w:p>
        </w:tc>
        <w:tc>
          <w:tcPr>
            <w:tcW w:type="dxa" w:w="3120"/>
            <w:tcMar>
              <w:top w:w="70" w:type="dxa"/>
              <w:bottom w:w="70" w:type="dxa"/>
              <w:left w:w="120" w:type="dxa"/>
              <w:right w:w="120" w:type="dxa"/>
            </w:tcMar>
            <w:tcBorders>
              <w:bottom w:val="single" w:sz="4" w:space="0" w:color="E2E8F0"/>
            </w:tcBorders>
          </w:tcPr>
          <w:p>
            <w:r>
              <w:rPr>
                <w:sz w:val="17"/>
              </w:rPr>
              <w:t>Direct SSL/TLS encrypted port.</w:t>
            </w:r>
          </w:p>
        </w:tc>
      </w:tr>
      <w:tr>
        <w:tc>
          <w:tcPr>
            <w:tcW w:type="dxa" w:w="3120"/>
            <w:tcMar>
              <w:top w:w="70" w:type="dxa"/>
              <w:bottom w:w="70" w:type="dxa"/>
              <w:left w:w="120" w:type="dxa"/>
              <w:right w:w="120" w:type="dxa"/>
            </w:tcMar>
            <w:tcBorders>
              <w:bottom w:val="single" w:sz="4" w:space="0" w:color="E2E8F0"/>
            </w:tcBorders>
          </w:tcPr>
          <w:p>
            <w:r>
              <w:rPr>
                <w:b/>
                <w:sz w:val="17"/>
              </w:rPr>
              <w:t>SMTP_SECURE</w:t>
            </w:r>
          </w:p>
        </w:tc>
        <w:tc>
          <w:tcPr>
            <w:tcW w:type="dxa" w:w="3120"/>
            <w:tcMar>
              <w:top w:w="70" w:type="dxa"/>
              <w:bottom w:w="70" w:type="dxa"/>
              <w:left w:w="120" w:type="dxa"/>
              <w:right w:w="120" w:type="dxa"/>
            </w:tcMar>
            <w:tcBorders>
              <w:bottom w:val="single" w:sz="4" w:space="0" w:color="E2E8F0"/>
            </w:tcBorders>
          </w:tcPr>
          <w:p>
            <w:r>
              <w:rPr>
                <w:sz w:val="17"/>
              </w:rPr>
              <w:t>true</w:t>
            </w:r>
          </w:p>
        </w:tc>
        <w:tc>
          <w:tcPr>
            <w:tcW w:type="dxa" w:w="3120"/>
            <w:tcMar>
              <w:top w:w="70" w:type="dxa"/>
              <w:bottom w:w="70" w:type="dxa"/>
              <w:left w:w="120" w:type="dxa"/>
              <w:right w:w="120" w:type="dxa"/>
            </w:tcMar>
            <w:tcBorders>
              <w:bottom w:val="single" w:sz="4" w:space="0" w:color="E2E8F0"/>
            </w:tcBorders>
          </w:tcPr>
          <w:p>
            <w:r>
              <w:rPr>
                <w:sz w:val="17"/>
              </w:rPr>
              <w:t>Enforces direct SSL/TLS encryption.</w:t>
            </w:r>
          </w:p>
        </w:tc>
      </w:tr>
      <w:tr>
        <w:tc>
          <w:tcPr>
            <w:tcW w:type="dxa" w:w="3120"/>
            <w:tcMar>
              <w:top w:w="70" w:type="dxa"/>
              <w:bottom w:w="70" w:type="dxa"/>
              <w:left w:w="120" w:type="dxa"/>
              <w:right w:w="120" w:type="dxa"/>
            </w:tcMar>
            <w:tcBorders>
              <w:bottom w:val="single" w:sz="4" w:space="0" w:color="E2E8F0"/>
            </w:tcBorders>
          </w:tcPr>
          <w:p>
            <w:r>
              <w:rPr>
                <w:b/>
                <w:sz w:val="17"/>
              </w:rPr>
              <w:t>SMTP_USER</w:t>
            </w:r>
          </w:p>
        </w:tc>
        <w:tc>
          <w:tcPr>
            <w:tcW w:type="dxa" w:w="3120"/>
            <w:tcMar>
              <w:top w:w="70" w:type="dxa"/>
              <w:bottom w:w="70" w:type="dxa"/>
              <w:left w:w="120" w:type="dxa"/>
              <w:right w:w="120" w:type="dxa"/>
            </w:tcMar>
            <w:tcBorders>
              <w:bottom w:val="single" w:sz="4" w:space="0" w:color="E2E8F0"/>
            </w:tcBorders>
          </w:tcPr>
          <w:p>
            <w:r>
              <w:rPr>
                <w:sz w:val="17"/>
              </w:rPr>
              <w:t>dharshana.shortfundly@gmail.com</w:t>
            </w:r>
          </w:p>
        </w:tc>
        <w:tc>
          <w:tcPr>
            <w:tcW w:type="dxa" w:w="3120"/>
            <w:tcMar>
              <w:top w:w="70" w:type="dxa"/>
              <w:bottom w:w="70" w:type="dxa"/>
              <w:left w:w="120" w:type="dxa"/>
              <w:right w:w="120" w:type="dxa"/>
            </w:tcMar>
            <w:tcBorders>
              <w:bottom w:val="single" w:sz="4" w:space="0" w:color="E2E8F0"/>
            </w:tcBorders>
          </w:tcPr>
          <w:p>
            <w:r>
              <w:rPr>
                <w:sz w:val="17"/>
              </w:rPr>
              <w:t>Google account email with 2-Factor Auth enabled.</w:t>
            </w:r>
          </w:p>
        </w:tc>
      </w:tr>
      <w:tr>
        <w:tc>
          <w:tcPr>
            <w:tcW w:type="dxa" w:w="3120"/>
            <w:tcMar>
              <w:top w:w="70" w:type="dxa"/>
              <w:bottom w:w="70" w:type="dxa"/>
              <w:left w:w="120" w:type="dxa"/>
              <w:right w:w="120" w:type="dxa"/>
            </w:tcMar>
            <w:tcBorders>
              <w:bottom w:val="single" w:sz="4" w:space="0" w:color="E2E8F0"/>
            </w:tcBorders>
          </w:tcPr>
          <w:p>
            <w:r>
              <w:rPr>
                <w:b/>
                <w:sz w:val="17"/>
              </w:rPr>
              <w:t>SMTP_PASS</w:t>
            </w:r>
          </w:p>
        </w:tc>
        <w:tc>
          <w:tcPr>
            <w:tcW w:type="dxa" w:w="3120"/>
            <w:tcMar>
              <w:top w:w="70" w:type="dxa"/>
              <w:bottom w:w="70" w:type="dxa"/>
              <w:left w:w="120" w:type="dxa"/>
              <w:right w:w="120" w:type="dxa"/>
            </w:tcMar>
            <w:tcBorders>
              <w:bottom w:val="single" w:sz="4" w:space="0" w:color="E2E8F0"/>
            </w:tcBorders>
          </w:tcPr>
          <w:p>
            <w:r>
              <w:rPr>
                <w:sz w:val="17"/>
              </w:rPr>
              <w:t>16-char App Password</w:t>
            </w:r>
          </w:p>
        </w:tc>
        <w:tc>
          <w:tcPr>
            <w:tcW w:type="dxa" w:w="3120"/>
            <w:tcMar>
              <w:top w:w="70" w:type="dxa"/>
              <w:bottom w:w="70" w:type="dxa"/>
              <w:left w:w="120" w:type="dxa"/>
              <w:right w:w="120" w:type="dxa"/>
            </w:tcMar>
            <w:tcBorders>
              <w:bottom w:val="single" w:sz="4" w:space="0" w:color="E2E8F0"/>
            </w:tcBorders>
          </w:tcPr>
          <w:p>
            <w:r>
              <w:rPr>
                <w:sz w:val="17"/>
              </w:rPr>
              <w:t>Google generated 16-character App Password.</w:t>
            </w:r>
          </w:p>
        </w:tc>
      </w:tr>
      <w:tr>
        <w:tc>
          <w:tcPr>
            <w:tcW w:type="dxa" w:w="3120"/>
            <w:tcMar>
              <w:top w:w="70" w:type="dxa"/>
              <w:bottom w:w="70" w:type="dxa"/>
              <w:left w:w="120" w:type="dxa"/>
              <w:right w:w="120" w:type="dxa"/>
            </w:tcMar>
            <w:tcBorders>
              <w:bottom w:val="single" w:sz="4" w:space="0" w:color="E2E8F0"/>
            </w:tcBorders>
          </w:tcPr>
          <w:p>
            <w:r>
              <w:rPr>
                <w:b/>
                <w:sz w:val="17"/>
              </w:rPr>
              <w:t>FROM_EMAIL</w:t>
            </w:r>
          </w:p>
        </w:tc>
        <w:tc>
          <w:tcPr>
            <w:tcW w:type="dxa" w:w="3120"/>
            <w:tcMar>
              <w:top w:w="70" w:type="dxa"/>
              <w:bottom w:w="70" w:type="dxa"/>
              <w:left w:w="120" w:type="dxa"/>
              <w:right w:w="120" w:type="dxa"/>
            </w:tcMar>
            <w:tcBorders>
              <w:bottom w:val="single" w:sz="4" w:space="0" w:color="E2E8F0"/>
            </w:tcBorders>
          </w:tcPr>
          <w:p>
            <w:r>
              <w:rPr>
                <w:sz w:val="17"/>
              </w:rPr>
              <w:t>campus@shortfundly.com</w:t>
            </w:r>
          </w:p>
        </w:tc>
        <w:tc>
          <w:tcPr>
            <w:tcW w:type="dxa" w:w="3120"/>
            <w:tcMar>
              <w:top w:w="70" w:type="dxa"/>
              <w:bottom w:w="70" w:type="dxa"/>
              <w:left w:w="120" w:type="dxa"/>
              <w:right w:w="120" w:type="dxa"/>
            </w:tcMar>
            <w:tcBorders>
              <w:bottom w:val="single" w:sz="4" w:space="0" w:color="E2E8F0"/>
            </w:tcBorders>
          </w:tcPr>
          <w:p>
            <w:r>
              <w:rPr>
                <w:sz w:val="17"/>
              </w:rPr>
              <w:t>Official sender address in email headers.</w:t>
            </w:r>
          </w:p>
        </w:tc>
      </w:tr>
      <w:tr>
        <w:tc>
          <w:tcPr>
            <w:tcW w:type="dxa" w:w="3120"/>
            <w:tcMar>
              <w:top w:w="70" w:type="dxa"/>
              <w:bottom w:w="70" w:type="dxa"/>
              <w:left w:w="120" w:type="dxa"/>
              <w:right w:w="120" w:type="dxa"/>
            </w:tcMar>
            <w:tcBorders>
              <w:bottom w:val="single" w:sz="4" w:space="0" w:color="E2E8F0"/>
            </w:tcBorders>
          </w:tcPr>
          <w:p>
            <w:r>
              <w:rPr>
                <w:b/>
                <w:sz w:val="17"/>
              </w:rPr>
              <w:t>DUPLICATE_COOLDOWN_DAYS</w:t>
            </w:r>
          </w:p>
        </w:tc>
        <w:tc>
          <w:tcPr>
            <w:tcW w:type="dxa" w:w="3120"/>
            <w:tcMar>
              <w:top w:w="70" w:type="dxa"/>
              <w:bottom w:w="70" w:type="dxa"/>
              <w:left w:w="120" w:type="dxa"/>
              <w:right w:w="120" w:type="dxa"/>
            </w:tcMar>
            <w:tcBorders>
              <w:bottom w:val="single" w:sz="4" w:space="0" w:color="E2E8F0"/>
            </w:tcBorders>
          </w:tcPr>
          <w:p>
            <w:r>
              <w:rPr>
                <w:sz w:val="17"/>
              </w:rPr>
              <w:t>30</w:t>
            </w:r>
          </w:p>
        </w:tc>
        <w:tc>
          <w:tcPr>
            <w:tcW w:type="dxa" w:w="3120"/>
            <w:tcMar>
              <w:top w:w="70" w:type="dxa"/>
              <w:bottom w:w="70" w:type="dxa"/>
              <w:left w:w="120" w:type="dxa"/>
              <w:right w:w="120" w:type="dxa"/>
            </w:tcMar>
            <w:tcBorders>
              <w:bottom w:val="single" w:sz="4" w:space="0" w:color="E2E8F0"/>
            </w:tcBorders>
          </w:tcPr>
          <w:p>
            <w:r>
              <w:rPr>
                <w:sz w:val="17"/>
              </w:rPr>
              <w:t>Enforces recipient cooldown period.</w:t>
            </w:r>
          </w:p>
        </w:tc>
      </w:tr>
    </w:tbl>
    <w:p>
      <w:pPr>
        <w:spacing w:before="160"/>
      </w:pPr>
    </w:p>
    <w:p>
      <w:pPr>
        <w:pStyle w:val="Heading2"/>
        <w:keepNext/>
        <w:spacing w:before="280" w:after="80"/>
      </w:pPr>
      <w:r>
        <w:rPr>
          <w:rFonts w:ascii="Calibri" w:hAnsi="Calibri"/>
          <w:b/>
          <w:color w:val="BE123C"/>
        </w:rPr>
        <w:t>7.2 Command Line Operations</w:t>
      </w:r>
    </w:p>
    <w:p>
      <w:pPr>
        <w:pStyle w:val="ListBullet"/>
        <w:spacing w:after="40"/>
      </w:pPr>
      <w:r>
        <w:rPr>
          <w:rFonts w:ascii="Consolas" w:hAnsi="Consolas"/>
          <w:b/>
          <w:color w:val="0F172A"/>
          <w:sz w:val="19"/>
        </w:rPr>
        <w:t>npm install</w:t>
      </w:r>
      <w:r>
        <w:t xml:space="preserve"> — Installs all production runtime dependencies.</w:t>
      </w:r>
    </w:p>
    <w:p>
      <w:pPr>
        <w:pStyle w:val="ListBullet"/>
        <w:spacing w:after="40"/>
      </w:pPr>
      <w:r>
        <w:rPr>
          <w:rFonts w:ascii="Consolas" w:hAnsi="Consolas"/>
          <w:b/>
          <w:color w:val="0F172A"/>
          <w:sz w:val="19"/>
        </w:rPr>
        <w:t>node scripts/test-system.js</w:t>
      </w:r>
      <w:r>
        <w:t xml:space="preserve"> — Executes all 9 production verification tests and checks live SMTP handshake.</w:t>
      </w:r>
    </w:p>
    <w:p>
      <w:pPr>
        <w:pStyle w:val="ListBullet"/>
        <w:spacing w:after="40"/>
      </w:pPr>
      <w:r>
        <w:rPr>
          <w:rFonts w:ascii="Consolas" w:hAnsi="Consolas"/>
          <w:b/>
          <w:color w:val="0F172A"/>
          <w:sz w:val="19"/>
        </w:rPr>
        <w:t>node scripts/load-test.js</w:t>
      </w:r>
      <w:r>
        <w:t xml:space="preserve"> — Runs cybersecurity attack simulations and 10,000-op stress benchmarks.</w:t>
      </w:r>
    </w:p>
    <w:p>
      <w:pPr>
        <w:pStyle w:val="ListBullet"/>
        <w:spacing w:after="40"/>
      </w:pPr>
      <w:r>
        <w:rPr>
          <w:rFonts w:ascii="Consolas" w:hAnsi="Consolas"/>
          <w:b/>
          <w:color w:val="0F172A"/>
          <w:sz w:val="19"/>
        </w:rPr>
        <w:t>npm run build</w:t>
      </w:r>
      <w:r>
        <w:t xml:space="preserve"> — Compiles Next.js optimized production bundles.</w:t>
      </w:r>
    </w:p>
    <w:p>
      <w:pPr>
        <w:pStyle w:val="ListBullet"/>
        <w:spacing w:after="40"/>
      </w:pPr>
      <w:r>
        <w:rPr>
          <w:rFonts w:ascii="Consolas" w:hAnsi="Consolas"/>
          <w:b/>
          <w:color w:val="0F172A"/>
          <w:sz w:val="19"/>
        </w:rPr>
        <w:t>npm run start</w:t>
      </w:r>
      <w:r>
        <w:t xml:space="preserve"> — Launches the production server at http://localhost:3000.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