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30"/>
        </w:rPr>
        <w:t>Adaptive Rate Control for Multi-Tenant Storage Clusters</w:t>
      </w:r>
    </w:p>
    <w:p>
      <w:r>
        <w:rPr>
          <w:b w:val="0"/>
          <w:i w:val="0"/>
        </w:rPr>
        <w:t>R Fernandes  M Okafor</w:t>
      </w:r>
    </w:p>
    <w:p>
      <w:r>
        <w:rPr>
          <w:b w:val="0"/>
          <w:i w:val="0"/>
        </w:rPr>
        <w:t>Abstract— We study rate control across tenants sharing a storage cluster and propose a feedback controller that limits tail latency while keeping utilization above ninety percent under mixed workloads.</w:t>
      </w:r>
    </w:p>
    <w:p>
      <w:r>
        <w:rPr>
          <w:b w:val="0"/>
          <w:i w:val="0"/>
        </w:rPr>
        <w:t>1. Introduction</w:t>
      </w:r>
    </w:p>
    <w:p>
      <w:r>
        <w:rPr>
          <w:b w:val="0"/>
          <w:i w:val="0"/>
        </w:rPr>
        <w:t>Multi-tenant clusters must isolate noisy neighbours without under-utilising spare capacity, a tension prior schedulers rarely quantify.</w:t>
      </w:r>
    </w:p>
    <w:p>
      <w:r>
        <w:rPr>
          <w:b w:val="0"/>
          <w:i w:val="0"/>
        </w:rPr>
        <w:t>This paper measures that tension directly and proposes a controller that reacts to queueing delay rather than raw throughput.</w:t>
      </w:r>
    </w:p>
    <w:p>
      <w:r>
        <w:rPr>
          <w:b w:val="0"/>
          <w:i w:val="0"/>
        </w:rPr>
        <w:t>2. Background</w:t>
      </w:r>
    </w:p>
    <w:p>
      <w:r>
        <w:rPr>
          <w:b w:val="0"/>
          <w:i w:val="0"/>
        </w:rPr>
        <w:t>Fair-share schedulers allocate IOPS proportionally but ignore burstiness, which dominates tail latency in practice.</w:t>
      </w:r>
    </w:p>
    <w:p>
      <w:r>
        <w:rPr>
          <w:b w:val="0"/>
          <w:i w:val="0"/>
        </w:rPr>
        <w:t>3. Controller Design</w:t>
      </w:r>
    </w:p>
    <w:p>
      <w:r>
        <w:rPr>
          <w:b w:val="0"/>
          <w:i w:val="0"/>
        </w:rPr>
        <w:t>The controller samples queue depth every 100ms and adjusts per-tenant credits using a proportional-integral loop.</w:t>
      </w:r>
    </w:p>
    <w:p>
      <w:r>
        <w:rPr>
          <w:b w:val="0"/>
          <w:i w:val="0"/>
        </w:rPr>
        <w:t>Fig 2 - controller block diagram</w:t>
      </w:r>
    </w:p>
    <w:p>
      <w:r>
        <w:rPr>
          <w:b w:val="0"/>
          <w:i w:val="0"/>
        </w:rPr>
        <w:t>4. Evaluation</w:t>
      </w:r>
    </w:p>
    <w:p>
      <w:r>
        <w:rPr>
          <w:b w:val="0"/>
          <w:i w:val="0"/>
        </w:rPr>
        <w:t>We replay three production traces against the controller and a fair-share baseline, measuring p99 latency and aggregate throughput.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>Chen et al 2020 Tail Latency in Shared Storage Systems</w:t>
      </w:r>
    </w:p>
    <w:p>
      <w:r>
        <w:rPr>
          <w:b w:val="0"/>
          <w:i w:val="0"/>
        </w:rPr>
        <w:t>1. Okafor M 2019 Credit Based IO 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