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0B1" w:rsidRDefault="00560FE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4360B1" w:rsidRDefault="00560FE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360B1">
        <w:tc>
          <w:tcPr>
            <w:tcW w:w="4508" w:type="dxa"/>
          </w:tcPr>
          <w:p w:rsidR="004360B1" w:rsidRDefault="00560FEE">
            <w:r>
              <w:t>Date</w:t>
            </w:r>
          </w:p>
        </w:tc>
        <w:tc>
          <w:tcPr>
            <w:tcW w:w="4508" w:type="dxa"/>
          </w:tcPr>
          <w:p w:rsidR="004360B1" w:rsidRDefault="0021739A">
            <w:r>
              <w:t>5 July 2026</w:t>
            </w:r>
          </w:p>
        </w:tc>
      </w:tr>
      <w:tr w:rsidR="004360B1">
        <w:tc>
          <w:tcPr>
            <w:tcW w:w="4508" w:type="dxa"/>
          </w:tcPr>
          <w:p w:rsidR="004360B1" w:rsidRDefault="00560FEE">
            <w:r>
              <w:t>Team ID</w:t>
            </w:r>
          </w:p>
        </w:tc>
        <w:tc>
          <w:tcPr>
            <w:tcW w:w="4508" w:type="dxa"/>
          </w:tcPr>
          <w:p w:rsidR="004360B1" w:rsidRDefault="0021739A">
            <w:r>
              <w:t>SWTID-2026-6274</w:t>
            </w:r>
          </w:p>
        </w:tc>
      </w:tr>
      <w:tr w:rsidR="004360B1">
        <w:tc>
          <w:tcPr>
            <w:tcW w:w="4508" w:type="dxa"/>
          </w:tcPr>
          <w:p w:rsidR="004360B1" w:rsidRDefault="00560FEE">
            <w:r>
              <w:t>Project Name</w:t>
            </w:r>
          </w:p>
        </w:tc>
        <w:tc>
          <w:tcPr>
            <w:tcW w:w="4508" w:type="dxa"/>
          </w:tcPr>
          <w:p w:rsidR="004360B1" w:rsidRDefault="004360B1">
            <w:r>
              <w:t>Plugging Into the Future: An Exploration of Electricity Consumption Patterns</w:t>
            </w:r>
          </w:p>
        </w:tc>
      </w:tr>
      <w:tr w:rsidR="004360B1">
        <w:tc>
          <w:tcPr>
            <w:tcW w:w="4508" w:type="dxa"/>
          </w:tcPr>
          <w:p w:rsidR="004360B1" w:rsidRDefault="00560FEE">
            <w:r>
              <w:t>Maximum Marks</w:t>
            </w:r>
          </w:p>
        </w:tc>
        <w:tc>
          <w:tcPr>
            <w:tcW w:w="4508" w:type="dxa"/>
          </w:tcPr>
          <w:p w:rsidR="004360B1" w:rsidRDefault="00560FEE">
            <w:r>
              <w:t>2 Marks</w:t>
            </w:r>
          </w:p>
        </w:tc>
      </w:tr>
    </w:tbl>
    <w:p w:rsidR="004360B1" w:rsidRDefault="004360B1">
      <w:pPr>
        <w:rPr>
          <w:b/>
        </w:rPr>
      </w:pPr>
    </w:p>
    <w:p w:rsidR="000A6F21" w:rsidRPr="000A6F21" w:rsidRDefault="000A6F21">
      <w:pPr>
        <w:rPr>
          <w:b/>
        </w:rPr>
      </w:pPr>
      <w:r>
        <w:t>Team</w:t>
      </w:r>
      <w:r w:rsidRPr="000A6F21">
        <w:rPr>
          <w:b/>
        </w:rPr>
        <w:t>: Dharshini Priya S</w:t>
      </w:r>
    </w:p>
    <w:p w:rsidR="000A6F21" w:rsidRPr="000A6F21" w:rsidRDefault="000A6F21">
      <w:pPr>
        <w:rPr>
          <w:b/>
        </w:rPr>
      </w:pPr>
      <w:r w:rsidRPr="000A6F21">
        <w:rPr>
          <w:b/>
        </w:rPr>
        <w:t xml:space="preserve">            Thanusha Peneti</w:t>
      </w:r>
    </w:p>
    <w:p w:rsidR="000A6F21" w:rsidRPr="000A6F21" w:rsidRDefault="000A6F21">
      <w:pPr>
        <w:rPr>
          <w:b/>
        </w:rPr>
      </w:pPr>
      <w:r w:rsidRPr="000A6F21">
        <w:rPr>
          <w:b/>
        </w:rPr>
        <w:t xml:space="preserve">            Yogananda Reddy Chinnannagari</w:t>
      </w:r>
    </w:p>
    <w:p w:rsidR="000A6F21" w:rsidRPr="000A6F21" w:rsidRDefault="00560FEE">
      <w:pPr>
        <w:rPr>
          <w:b/>
        </w:rPr>
      </w:pPr>
      <w:r w:rsidRPr="000A6F21">
        <w:rPr>
          <w:b/>
        </w:rPr>
        <w:t xml:space="preserve"> </w:t>
      </w:r>
      <w:r w:rsidR="000A6F21" w:rsidRPr="000A6F21">
        <w:rPr>
          <w:b/>
        </w:rPr>
        <w:t xml:space="preserve">           </w:t>
      </w:r>
      <w:r w:rsidRPr="000A6F21">
        <w:rPr>
          <w:b/>
        </w:rPr>
        <w:t>Mudiyala Shashank Reddy</w:t>
      </w:r>
    </w:p>
    <w:p w:rsidR="000A6F21" w:rsidRDefault="000A6F21"/>
    <w:p w:rsidR="00B15099" w:rsidRDefault="00560FEE">
      <w:r>
        <w:rPr>
          <w:b/>
        </w:rPr>
        <w:t>Our Problem – Solution Fit Canvas:</w:t>
      </w:r>
    </w:p>
    <w:p w:rsidR="004360B1" w:rsidRDefault="00560FEE">
      <w:r>
        <w:t>References:</w:t>
      </w:r>
    </w:p>
    <w:p w:rsidR="004360B1" w:rsidRDefault="007542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8">
        <w:r w:rsidR="004360B1">
          <w:rPr>
            <w:color w:val="0563C1"/>
            <w:u w:val="single"/>
          </w:rPr>
          <w:t>https://www.ideahackers.network/problem-solution-fit-canvas/</w:t>
        </w:r>
      </w:hyperlink>
    </w:p>
    <w:p w:rsidR="004360B1" w:rsidRDefault="007542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9">
        <w:r w:rsidR="004360B1">
          <w:rPr>
            <w:color w:val="0563C1"/>
            <w:u w:val="single"/>
          </w:rPr>
          <w:t>https://medium.com/@epicantus/problem-solution-fit-canvas-aa3dd59cb4fe</w:t>
        </w:r>
      </w:hyperlink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 w:rsidR="00B15099">
        <w:tc>
          <w:tcPr>
            <w:tcW w:w="3009" w:type="dxa"/>
          </w:tcPr>
          <w:p w:rsidR="00B15099" w:rsidRDefault="00560FEE">
            <w:r>
              <w:t>1. Customer Segment(s)</w:t>
            </w:r>
            <w:r>
              <w:br/>
              <w:t>Energy analysts, utility planners, and policy researchers needing clear consumption insights</w:t>
            </w:r>
          </w:p>
        </w:tc>
        <w:tc>
          <w:tcPr>
            <w:tcW w:w="3009" w:type="dxa"/>
          </w:tcPr>
          <w:p w:rsidR="00B15099" w:rsidRDefault="00560FEE">
            <w:r>
              <w:t>6. Customer Constraints</w:t>
            </w:r>
            <w:r>
              <w:br/>
              <w:t>Budget for enterprise BI tools; limited technical/coding skills; internet access for cloud dashboards</w:t>
            </w:r>
          </w:p>
        </w:tc>
        <w:tc>
          <w:tcPr>
            <w:tcW w:w="3009" w:type="dxa"/>
          </w:tcPr>
          <w:p w:rsidR="00B15099" w:rsidRDefault="00560FEE">
            <w:r>
              <w:t>5. Available Solutions</w:t>
            </w:r>
            <w:r>
              <w:br/>
              <w:t>Manual spreadsheet analysis; government static reports; costly enterprise BI suites</w:t>
            </w:r>
          </w:p>
        </w:tc>
      </w:tr>
      <w:tr w:rsidR="00B15099">
        <w:tc>
          <w:tcPr>
            <w:tcW w:w="3009" w:type="dxa"/>
          </w:tcPr>
          <w:p w:rsidR="00B15099" w:rsidRDefault="00560FEE">
            <w:r>
              <w:t>2. Jobs-to-be-Done / Problems</w:t>
            </w:r>
            <w:r>
              <w:br/>
              <w:t>Spotting seasonal demand peaks; comparing states/regions; tracking year-over-year growth</w:t>
            </w:r>
          </w:p>
        </w:tc>
        <w:tc>
          <w:tcPr>
            <w:tcW w:w="3009" w:type="dxa"/>
          </w:tcPr>
          <w:p w:rsidR="00B15099" w:rsidRDefault="00560FEE">
            <w:r>
              <w:t>9. Problem Root Cause</w:t>
            </w:r>
            <w:r>
              <w:br/>
              <w:t>Consumption data is scattered across raw files with no unified, visual way to compare trends</w:t>
            </w:r>
          </w:p>
        </w:tc>
        <w:tc>
          <w:tcPr>
            <w:tcW w:w="3009" w:type="dxa"/>
          </w:tcPr>
          <w:p w:rsidR="00B15099" w:rsidRDefault="00560FEE">
            <w:r>
              <w:t>7. Behaviour</w:t>
            </w:r>
            <w:r>
              <w:br/>
              <w:t>Downloading raw reports; building manual spreadsheet charts; reading news/government summaries</w:t>
            </w:r>
          </w:p>
        </w:tc>
      </w:tr>
      <w:tr w:rsidR="00B15099">
        <w:tc>
          <w:tcPr>
            <w:tcW w:w="3009" w:type="dxa"/>
          </w:tcPr>
          <w:p w:rsidR="00B15099" w:rsidRDefault="00560FEE">
            <w:r>
              <w:t>3. Triggers</w:t>
            </w:r>
            <w:r>
              <w:br/>
              <w:t>Preparing a planning report; noticing an unexplained demand spike in the news</w:t>
            </w:r>
          </w:p>
        </w:tc>
        <w:tc>
          <w:tcPr>
            <w:tcW w:w="3009" w:type="dxa"/>
          </w:tcPr>
          <w:p w:rsidR="00B15099" w:rsidRDefault="00560FEE">
            <w:r>
              <w:t>10. Your Solution</w:t>
            </w:r>
            <w:r>
              <w:br/>
              <w:t>An interactive Tableau dashboard that visualizes monthly, seasonal, and regional electricity consumption patterns</w:t>
            </w:r>
          </w:p>
        </w:tc>
        <w:tc>
          <w:tcPr>
            <w:tcW w:w="3009" w:type="dxa"/>
          </w:tcPr>
          <w:p w:rsidR="00B15099" w:rsidRDefault="00560FEE">
            <w:r>
              <w:t>8. Channels of Behaviour</w:t>
            </w:r>
            <w:r>
              <w:br/>
              <w:t>Online: browsing dashboards and reports. Offline: planning meetings, policy briefings</w:t>
            </w:r>
          </w:p>
        </w:tc>
      </w:tr>
      <w:tr w:rsidR="00B15099">
        <w:tc>
          <w:tcPr>
            <w:tcW w:w="9027" w:type="dxa"/>
            <w:gridSpan w:val="3"/>
          </w:tcPr>
          <w:p w:rsidR="00B15099" w:rsidRDefault="00560FEE">
            <w:r>
              <w:t>4. Emotions: Before / After</w:t>
            </w:r>
            <w:r>
              <w:br/>
              <w:t>Before: overwhelmed, uncertain → After: confident, informed</w:t>
            </w:r>
          </w:p>
        </w:tc>
      </w:tr>
    </w:tbl>
    <w:p w:rsidR="00560FEE" w:rsidRDefault="00560FEE"/>
    <w:sectPr w:rsidR="00560FEE" w:rsidSect="007542F5">
      <w:headerReference w:type="default" r:id="rId10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0F65" w:rsidRDefault="00880F65" w:rsidP="0021739A">
      <w:pPr>
        <w:spacing w:after="0" w:line="240" w:lineRule="auto"/>
      </w:pPr>
      <w:r>
        <w:separator/>
      </w:r>
    </w:p>
  </w:endnote>
  <w:endnote w:type="continuationSeparator" w:id="1">
    <w:p w:rsidR="00880F65" w:rsidRDefault="00880F65" w:rsidP="00217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443ED8DF-897B-466D-8F57-E5DEB01FA45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B76CB96-710F-42AF-92CE-C8B3F9D15AA6}"/>
    <w:embedBold r:id="rId3" w:fontKey="{59F577BD-91E4-44AD-B5D7-DEC6712FAB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0B498C0-A211-4837-866B-7203ABE2C55F}"/>
    <w:embedItalic r:id="rId5" w:fontKey="{77A52FD0-29EA-406C-A40F-20AA540381B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F12FC784-5F50-4F79-8CFE-CCE4C4BCC7F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001838AB-895F-4373-9EC5-46704BE535F4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0F65" w:rsidRDefault="00880F65" w:rsidP="0021739A">
      <w:pPr>
        <w:spacing w:after="0" w:line="240" w:lineRule="auto"/>
      </w:pPr>
      <w:r>
        <w:separator/>
      </w:r>
    </w:p>
  </w:footnote>
  <w:footnote w:type="continuationSeparator" w:id="1">
    <w:p w:rsidR="00880F65" w:rsidRDefault="00880F65" w:rsidP="00217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739A" w:rsidRDefault="0021739A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4815840</wp:posOffset>
          </wp:positionH>
          <wp:positionV relativeFrom="paragraph">
            <wp:posOffset>-411480</wp:posOffset>
          </wp:positionV>
          <wp:extent cx="1714500" cy="487680"/>
          <wp:effectExtent l="0" t="0" r="0" b="7620"/>
          <wp:wrapTight wrapText="bothSides">
            <wp:wrapPolygon edited="0">
              <wp:start x="0" y="0"/>
              <wp:lineTo x="0" y="21094"/>
              <wp:lineTo x="21360" y="21094"/>
              <wp:lineTo x="21360" y="0"/>
              <wp:lineTo x="0" y="0"/>
            </wp:wrapPolygon>
          </wp:wrapTight>
          <wp:docPr id="8179638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7963873" name="Picture 8179638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0" cy="487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posOffset>-731520</wp:posOffset>
          </wp:positionH>
          <wp:positionV relativeFrom="paragraph">
            <wp:posOffset>-342900</wp:posOffset>
          </wp:positionV>
          <wp:extent cx="1958340" cy="441960"/>
          <wp:effectExtent l="0" t="0" r="3810" b="0"/>
          <wp:wrapTight wrapText="bothSides">
            <wp:wrapPolygon edited="0">
              <wp:start x="0" y="0"/>
              <wp:lineTo x="0" y="20483"/>
              <wp:lineTo x="21432" y="20483"/>
              <wp:lineTo x="21432" y="0"/>
              <wp:lineTo x="0" y="0"/>
            </wp:wrapPolygon>
          </wp:wrapTight>
          <wp:docPr id="12417283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728372" name="Picture 124172837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8340" cy="441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4360B1"/>
    <w:rsid w:val="000A6F21"/>
    <w:rsid w:val="0021739A"/>
    <w:rsid w:val="004360B1"/>
    <w:rsid w:val="00560FEE"/>
    <w:rsid w:val="005902FC"/>
    <w:rsid w:val="007542F5"/>
    <w:rsid w:val="00880F65"/>
    <w:rsid w:val="00A33440"/>
    <w:rsid w:val="00B15099"/>
    <w:rsid w:val="00BE29A3"/>
    <w:rsid w:val="00CD4B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2F5"/>
  </w:style>
  <w:style w:type="paragraph" w:styleId="Heading1">
    <w:name w:val="heading 1"/>
    <w:basedOn w:val="Normal"/>
    <w:next w:val="Normal"/>
    <w:uiPriority w:val="9"/>
    <w:qFormat/>
    <w:rsid w:val="007542F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542F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542F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542F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542F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542F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7542F5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7542F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7542F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17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39A"/>
  </w:style>
  <w:style w:type="paragraph" w:styleId="Footer">
    <w:name w:val="footer"/>
    <w:basedOn w:val="Normal"/>
    <w:link w:val="FooterChar"/>
    <w:uiPriority w:val="99"/>
    <w:unhideWhenUsed/>
    <w:rsid w:val="00217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39A"/>
  </w:style>
  <w:style w:type="paragraph" w:styleId="BalloonText">
    <w:name w:val="Balloon Text"/>
    <w:basedOn w:val="Normal"/>
    <w:link w:val="BalloonTextChar"/>
    <w:uiPriority w:val="99"/>
    <w:semiHidden/>
    <w:unhideWhenUsed/>
    <w:rsid w:val="000A6F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F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edium.com/@epicantus/problem-solution-fit-canvas-aa3dd59cb4f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cp:lastPrinted>2025-02-15T04:32:00Z</cp:lastPrinted>
  <dcterms:created xsi:type="dcterms:W3CDTF">2026-07-15T04:57:00Z</dcterms:created>
  <dcterms:modified xsi:type="dcterms:W3CDTF">2026-07-18T13:38:00Z</dcterms:modified>
</cp:coreProperties>
</file>