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19"/>
        </w:rPr>
        <w:t>DEPARTMENT OF COMPUTER SCIENCE &amp; ENGINEERING (AI &amp; ML) | PES UNIVERSITY</w:t>
        <w:br/>
        <w:t>COURSE: UE24AM342AA5 — ML SYSTEM DESIGN AND AGENTOPS</w:t>
      </w:r>
    </w:p>
    <w:p>
      <w:pPr>
        <w:spacing w:after="80"/>
        <w:jc w:val="center"/>
      </w:pPr>
      <w:r>
        <w:rPr>
          <w:b/>
          <w:color w:val="1E3A8A"/>
          <w:sz w:val="44"/>
        </w:rPr>
        <w:t>Mini Project 03 — Health Insurance Pre-Authorisation Desk</w:t>
      </w:r>
    </w:p>
    <w:p>
      <w:pPr>
        <w:spacing w:after="360"/>
        <w:jc w:val="center"/>
      </w:pPr>
      <w:r>
        <w:rPr>
          <w:i/>
          <w:color w:val="64748B"/>
          <w:sz w:val="26"/>
        </w:rPr>
        <w:t>Production Multi-Agent Reasoning, Dynamic 2-Stage Retrieval &amp; Operational Verification</w:t>
      </w:r>
    </w:p>
    <w:tbl>
      <w:tblPr>
        <w:tblW w:type="auto" w:w="0"/>
        <w:jc w:val="center"/>
        <w:tblLook w:firstColumn="1" w:firstRow="1" w:lastColumn="0" w:lastRow="0" w:noHBand="0" w:noVBand="1" w:val="04A0"/>
      </w:tblPr>
      <w:tblGrid>
        <w:gridCol w:w="4680"/>
        <w:gridCol w:w="4680"/>
      </w:tblGrid>
      <w:tr>
        <w:tc>
          <w:tcPr>
            <w:tcW w:type="dxa" w:w="3168"/>
            <w:shd w:fill="F1F5F9"/>
          </w:tcPr>
          <w:p>
            <w:r>
              <w:rPr>
                <w:b/>
                <w:color w:val="1E3A8A"/>
                <w:sz w:val="20"/>
              </w:rPr>
              <w:t>Component / Weightage</w:t>
            </w:r>
          </w:p>
        </w:tc>
        <w:tc>
          <w:tcPr>
            <w:tcW w:type="dxa" w:w="6192"/>
            <w:shd w:fill="FFFFFF"/>
          </w:tcPr>
          <w:p>
            <w:r>
              <w:rPr>
                <w:color w:val="0F172A"/>
                <w:sz w:val="20"/>
              </w:rPr>
              <w:t>Jackfruit (Level 3), 10 Marks (Scaled to 8 Marks)</w:t>
            </w:r>
          </w:p>
        </w:tc>
      </w:tr>
      <w:tr>
        <w:tc>
          <w:tcPr>
            <w:tcW w:type="dxa" w:w="3168"/>
            <w:shd w:fill="F1F5F9"/>
          </w:tcPr>
          <w:p>
            <w:r>
              <w:rPr>
                <w:b/>
                <w:color w:val="1E3A8A"/>
                <w:sz w:val="20"/>
              </w:rPr>
              <w:t>Student Name &amp; SRN</w:t>
            </w:r>
          </w:p>
        </w:tc>
        <w:tc>
          <w:tcPr>
            <w:tcW w:type="dxa" w:w="6192"/>
            <w:shd w:fill="FFFFFF"/>
          </w:tcPr>
          <w:p>
            <w:r>
              <w:rPr>
                <w:color w:val="0F172A"/>
                <w:sz w:val="20"/>
              </w:rPr>
              <w:t>Dharshini V (SRN: PES1UG24AM428) &amp; Team</w:t>
            </w:r>
          </w:p>
        </w:tc>
      </w:tr>
      <w:tr>
        <w:tc>
          <w:tcPr>
            <w:tcW w:type="dxa" w:w="3168"/>
            <w:shd w:fill="F1F5F9"/>
          </w:tcPr>
          <w:p>
            <w:r>
              <w:rPr>
                <w:b/>
                <w:color w:val="1E3A8A"/>
                <w:sz w:val="20"/>
              </w:rPr>
              <w:t>Repository URL</w:t>
            </w:r>
          </w:p>
        </w:tc>
        <w:tc>
          <w:tcPr>
            <w:tcW w:type="dxa" w:w="6192"/>
            <w:shd w:fill="FFFFFF"/>
          </w:tcPr>
          <w:p>
            <w:r>
              <w:rPr>
                <w:color w:val="0F172A"/>
                <w:sz w:val="20"/>
              </w:rPr>
              <w:t>https://github.com/DharshiniPES/health-insurance-preauth-desk</w:t>
            </w:r>
          </w:p>
        </w:tc>
      </w:tr>
      <w:tr>
        <w:tc>
          <w:tcPr>
            <w:tcW w:type="dxa" w:w="3168"/>
            <w:shd w:fill="F1F5F9"/>
          </w:tcPr>
          <w:p>
            <w:r>
              <w:rPr>
                <w:b/>
                <w:color w:val="1E3A8A"/>
                <w:sz w:val="20"/>
              </w:rPr>
              <w:t>Date of Submission</w:t>
            </w:r>
          </w:p>
        </w:tc>
        <w:tc>
          <w:tcPr>
            <w:tcW w:type="dxa" w:w="6192"/>
            <w:shd w:fill="FFFFFF"/>
          </w:tcPr>
          <w:p>
            <w:r>
              <w:rPr>
                <w:color w:val="0F172A"/>
                <w:sz w:val="20"/>
              </w:rPr>
              <w:t>October 2026</w:t>
            </w:r>
          </w:p>
        </w:tc>
      </w:tr>
    </w:tbl>
    <w:p>
      <w:pPr>
        <w:spacing w:after="280"/>
      </w:pPr>
    </w:p>
    <w:p>
      <w:pPr>
        <w:spacing w:before="320" w:after="120"/>
      </w:pPr>
      <w:r>
        <w:rPr>
          <w:b/>
          <w:color w:val="1E3A8A"/>
          <w:sz w:val="30"/>
        </w:rPr>
        <w:t>Executive Summary</w:t>
      </w:r>
    </w:p>
    <w:p>
      <w:pPr>
        <w:spacing w:after="120" w:line="276" w:lineRule="auto"/>
      </w:pPr>
      <w:r>
        <w:rPr>
          <w:color w:val="0F172A"/>
          <w:sz w:val="21"/>
        </w:rPr>
        <w:t>Before a planned hospitalisation, the hospital's Third Party Administrator (TPA) desk submits an electronic pre-authorisation request to the insurer. An underwriting determination must be delivered within minutes: will this admission be covered, and up to what monetary limit? Getting this wrong is expensive in both directions: an erroneous approval causes direct claim loss, while an erroneous denial generates consumer grievances and severe regulatory escalations under IRDAI guidelines.</w:t>
      </w:r>
    </w:p>
    <w:p>
      <w:pPr>
        <w:spacing w:after="120" w:line="276" w:lineRule="auto"/>
      </w:pPr>
      <w:r>
        <w:rPr>
          <w:color w:val="0F172A"/>
          <w:sz w:val="21"/>
        </w:rPr>
        <w:t>This report documents the architectural design, implementation, and empirical evaluation of an autonomous, multi-agent reasoning system that ingests pre-authorisation requests, validates data contracts, dynamically retrieves modifying clauses across disparate policy chapters, verifies ground truth against retrieved passages, and produces an evidence-grounded recommendation routed to human Medical Officers.</w:t>
      </w:r>
    </w:p>
    <w:p>
      <w:pPr>
        <w:spacing w:before="320" w:after="120"/>
      </w:pPr>
      <w:r>
        <w:rPr>
          <w:b/>
          <w:color w:val="1E3A8A"/>
          <w:sz w:val="30"/>
        </w:rPr>
        <w:t>1. Problem and Scope</w:t>
      </w:r>
    </w:p>
    <w:p>
      <w:pPr>
        <w:pStyle w:val="ListBullet"/>
        <w:spacing w:after="80" w:line="276" w:lineRule="auto"/>
      </w:pPr>
      <w:r>
        <w:rPr>
          <w:b/>
          <w:color w:val="0F172A"/>
          <w:sz w:val="21"/>
        </w:rPr>
        <w:t xml:space="preserve">Underwriting Challenge: </w:t>
      </w:r>
      <w:r>
        <w:rPr>
          <w:color w:val="0F172A"/>
          <w:sz w:val="21"/>
        </w:rPr>
        <w:t>Pre-authorisation requests require checking multiple interdependent conditions: policy active status, initial 30-day waiting period, disease-specific 24-month waiting periods, 36-month pre-existing disease (PED) clauses, permanent exclusions, and room rent sub-limits.</w:t>
      </w:r>
    </w:p>
    <w:p>
      <w:pPr>
        <w:pStyle w:val="ListBullet"/>
        <w:spacing w:after="80" w:line="276" w:lineRule="auto"/>
      </w:pPr>
      <w:r>
        <w:rPr>
          <w:b/>
          <w:color w:val="0F172A"/>
          <w:sz w:val="21"/>
        </w:rPr>
        <w:t xml:space="preserve">The Section 4.1 Difficult Case: </w:t>
      </w:r>
      <w:r>
        <w:rPr>
          <w:color w:val="0F172A"/>
          <w:sz w:val="21"/>
        </w:rPr>
        <w:t>The canonical evaluation scenario involves 'Planned cataract surgery. The policy was issued eleven months ago.' Standard single-pass RAG systems match the Inpatient or Day-Care cover clause (which confirms Cataract is covered) but miss Clause 2.2 located 12 pages away, which mandates a 24-month waiting period for Cataract. The naive system thus issues an incorrect approval.</w:t>
      </w:r>
    </w:p>
    <w:p>
      <w:pPr>
        <w:pStyle w:val="ListBullet"/>
        <w:spacing w:after="80" w:line="276" w:lineRule="auto"/>
      </w:pPr>
      <w:r>
        <w:rPr>
          <w:b/>
          <w:color w:val="0F172A"/>
          <w:sz w:val="21"/>
        </w:rPr>
        <w:t xml:space="preserve">In-Scope Boundaries: </w:t>
      </w:r>
      <w:r>
        <w:rPr>
          <w:color w:val="0F172A"/>
          <w:sz w:val="21"/>
        </w:rPr>
        <w:t>Documented REST interface, Pydantic ingestion validation with disk quarantine, multi-stage dynamic retrieval, self-verification, Prometheus observability, circuit breaker fault tolerance, async queue execution, and prompt injection defense.</w:t>
      </w:r>
    </w:p>
    <w:p>
      <w:pPr>
        <w:pStyle w:val="ListBullet"/>
        <w:spacing w:after="80" w:line="276" w:lineRule="auto"/>
      </w:pPr>
      <w:r>
        <w:rPr>
          <w:b/>
          <w:color w:val="0F172A"/>
          <w:sz w:val="21"/>
        </w:rPr>
        <w:t xml:space="preserve">Out-of-Scope Boundaries: </w:t>
      </w:r>
      <w:r>
        <w:rPr>
          <w:color w:val="0F172A"/>
          <w:sz w:val="21"/>
        </w:rPr>
        <w:t>Model weight fine-tuning and cloud-hosted deployment (runs locally via Docker Compose with synthetic patient records conforming to HIPAA / IRDAI data privacy guidelines).</w:t>
      </w:r>
    </w:p>
    <w:p>
      <w:pPr>
        <w:spacing w:before="320" w:after="120"/>
      </w:pPr>
      <w:r>
        <w:rPr>
          <w:b/>
          <w:color w:val="1E3A8A"/>
          <w:sz w:val="30"/>
        </w:rPr>
        <w:t>2. Agent Design: Topology, Tools, Verification, and Loop Limits</w:t>
      </w:r>
    </w:p>
    <w:p>
      <w:pPr>
        <w:pStyle w:val="ListBullet"/>
        <w:spacing w:after="80" w:line="276" w:lineRule="auto"/>
      </w:pPr>
      <w:r>
        <w:rPr>
          <w:b/>
          <w:color w:val="0F172A"/>
          <w:sz w:val="21"/>
        </w:rPr>
        <w:t xml:space="preserve">Agent Topology (A1, A2): </w:t>
      </w:r>
      <w:r>
        <w:rPr>
          <w:color w:val="0F172A"/>
          <w:sz w:val="21"/>
        </w:rPr>
        <w:t>Decomposes underwriting into Agent 1 (Clinical Intake &amp; Retrieval) and Agent 2 (Adjudication &amp; Self-Verification) communicating via a typed, immutable handoff contract.</w:t>
      </w:r>
    </w:p>
    <w:p>
      <w:pPr>
        <w:pStyle w:val="ListBullet"/>
        <w:spacing w:after="80" w:line="276" w:lineRule="auto"/>
      </w:pPr>
      <w:r>
        <w:rPr>
          <w:b/>
          <w:color w:val="0F172A"/>
          <w:sz w:val="21"/>
        </w:rPr>
        <w:t xml:space="preserve">Agent 1 (Clinical Intake): </w:t>
      </w:r>
      <w:r>
        <w:rPr>
          <w:color w:val="0F172A"/>
          <w:sz w:val="21"/>
        </w:rPr>
        <w:t>Agent 1 classifies admission type (planned, day care, emergency, maternity), calculates policy vintage in months, executes Stage 1 primary cover search, and dynamically derives Stage 2 targeted queries for modifying provisions (waiting periods and exclusions).</w:t>
      </w:r>
    </w:p>
    <w:p>
      <w:pPr>
        <w:pStyle w:val="ListBullet"/>
        <w:spacing w:after="80" w:line="276" w:lineRule="auto"/>
      </w:pPr>
      <w:r>
        <w:rPr>
          <w:b/>
          <w:color w:val="0F172A"/>
          <w:sz w:val="21"/>
        </w:rPr>
        <w:t xml:space="preserve">Agent 2 (Adjudication &amp; Verification): </w:t>
      </w:r>
      <w:r>
        <w:rPr>
          <w:color w:val="0F172A"/>
          <w:sz w:val="21"/>
        </w:rPr>
        <w:t>Agent 2 evaluates coverage position, applies room rent 1% caps (SEC-SUBLIM-ROOM) and procedure limits (SEC-SUBLIM-CATARACT), runs strict self-verification, and routes to approve-recommended, query-to-hospital, or medical-review.</w:t>
      </w:r>
    </w:p>
    <w:p>
      <w:pPr>
        <w:pStyle w:val="ListBullet"/>
        <w:spacing w:after="80" w:line="276" w:lineRule="auto"/>
      </w:pPr>
      <w:r>
        <w:rPr>
          <w:b/>
          <w:color w:val="0F172A"/>
          <w:sz w:val="21"/>
        </w:rPr>
        <w:t xml:space="preserve">Dynamic Tools (A1): </w:t>
      </w:r>
      <w:r>
        <w:rPr>
          <w:color w:val="0F172A"/>
          <w:sz w:val="21"/>
        </w:rPr>
        <w:t>Retrieval is exposed as autonomous tools: corpus_search, lookup_clause, search_daycare_schedule, check_sublimit_and_room_rent, and get_request_field.</w:t>
      </w:r>
    </w:p>
    <w:p>
      <w:pPr>
        <w:pStyle w:val="ListBullet"/>
        <w:spacing w:after="80" w:line="276" w:lineRule="auto"/>
      </w:pPr>
      <w:r>
        <w:rPr>
          <w:b/>
          <w:color w:val="0F172A"/>
          <w:sz w:val="21"/>
        </w:rPr>
        <w:t xml:space="preserve">Strict Self-Verification (A3): </w:t>
      </w:r>
      <w:r>
        <w:rPr>
          <w:color w:val="0F172A"/>
          <w:sz w:val="21"/>
        </w:rPr>
        <w:t>Every cited clause must resolve to retrieved text passages. Unverifiable or ungrounded assertions are caught and safely escalated to medical-review (F7).</w:t>
      </w:r>
    </w:p>
    <w:p>
      <w:pPr>
        <w:pStyle w:val="ListBullet"/>
        <w:spacing w:after="80" w:line="276" w:lineRule="auto"/>
      </w:pPr>
      <w:r>
        <w:rPr>
          <w:b/>
          <w:color w:val="0F172A"/>
          <w:sz w:val="21"/>
        </w:rPr>
        <w:t xml:space="preserve">Loop Bounds (A1): </w:t>
      </w:r>
      <w:r>
        <w:rPr>
          <w:color w:val="0F172A"/>
          <w:sz w:val="21"/>
        </w:rPr>
        <w:t>Maximum 6 agent steps, maximum 8 tool calls, and a strict 25.0-second wall-clock execution timeout.</w:t>
      </w:r>
    </w:p>
    <w:p>
      <w:pPr>
        <w:spacing w:before="320" w:after="120"/>
      </w:pPr>
      <w:r>
        <w:rPr>
          <w:b/>
          <w:color w:val="1E3A8A"/>
          <w:sz w:val="30"/>
        </w:rPr>
        <w:t>3. Architecture &amp; Deployment Boundaries (D3, D5, A4)</w:t>
      </w:r>
    </w:p>
    <w:p>
      <w:pPr>
        <w:spacing w:after="120" w:line="276" w:lineRule="auto"/>
      </w:pPr>
      <w:r>
        <w:rPr>
          <w:color w:val="0F172A"/>
          <w:sz w:val="21"/>
        </w:rPr>
        <w:t>The system runs entirely under Docker Compose partitioned into 4 distinct service boundaries:</w:t>
      </w:r>
    </w:p>
    <w:p>
      <w:pPr>
        <w:pStyle w:val="ListBullet"/>
        <w:spacing w:after="80" w:line="276" w:lineRule="auto"/>
      </w:pPr>
      <w:r>
        <w:rPr>
          <w:b/>
          <w:color w:val="0F172A"/>
          <w:sz w:val="21"/>
        </w:rPr>
        <w:t xml:space="preserve">1. api (REST Gateway, Port 8000): </w:t>
      </w:r>
      <w:r>
        <w:rPr>
          <w:color w:val="0F172A"/>
          <w:sz w:val="21"/>
        </w:rPr>
        <w:t>FastAPI REST service enforcing data contracts, regex/semantic prompt injection guardrails, ingestion quarantine, health probes, and Web Client UI.</w:t>
      </w:r>
    </w:p>
    <w:p>
      <w:pPr>
        <w:pStyle w:val="ListBullet"/>
        <w:spacing w:after="80" w:line="276" w:lineRule="auto"/>
      </w:pPr>
      <w:r>
        <w:rPr>
          <w:b/>
          <w:color w:val="0F172A"/>
          <w:sz w:val="21"/>
        </w:rPr>
        <w:t xml:space="preserve">2. agent-worker (Execution Engine): </w:t>
      </w:r>
      <w:r>
        <w:rPr>
          <w:color w:val="0F172A"/>
          <w:sz w:val="21"/>
        </w:rPr>
        <w:t>Scalable background worker running multi-agent reasoning, vector retrieval, and verification loops. Supports horizontal scaling via 'docker compose up --scale agent-worker=3'.</w:t>
      </w:r>
    </w:p>
    <w:p>
      <w:pPr>
        <w:pStyle w:val="ListBullet"/>
        <w:spacing w:after="80" w:line="276" w:lineRule="auto"/>
      </w:pPr>
      <w:r>
        <w:rPr>
          <w:b/>
          <w:color w:val="0F172A"/>
          <w:sz w:val="21"/>
        </w:rPr>
        <w:t xml:space="preserve">3. redis (Queue Broker &amp; Cache, Port 6379): </w:t>
      </w:r>
      <w:r>
        <w:rPr>
          <w:color w:val="0F172A"/>
          <w:sz w:val="21"/>
        </w:rPr>
        <w:t>Provides asynchronous task queue buffering (A4) and distributed query/embedding caching (D7) with 3600s TTL.</w:t>
      </w:r>
    </w:p>
    <w:p>
      <w:pPr>
        <w:pStyle w:val="ListBullet"/>
        <w:spacing w:after="80" w:line="276" w:lineRule="auto"/>
      </w:pPr>
      <w:r>
        <w:rPr>
          <w:b/>
          <w:color w:val="0F172A"/>
          <w:sz w:val="21"/>
        </w:rPr>
        <w:t xml:space="preserve">4. prometheus (Observability Scraper, Port 9090): </w:t>
      </w:r>
      <w:r>
        <w:rPr>
          <w:color w:val="0F172A"/>
          <w:sz w:val="21"/>
        </w:rPr>
        <w:t>Scrapes /metrics every 5s, tracking p50/p95 latency, tool calls, token usage, cost, and container uptime.</w:t>
      </w:r>
    </w:p>
    <w:p>
      <w:pPr>
        <w:spacing w:before="320" w:after="120"/>
      </w:pPr>
      <w:r>
        <w:rPr>
          <w:b/>
          <w:color w:val="1E3A8A"/>
          <w:sz w:val="30"/>
        </w:rPr>
        <w:t>4. Design Decisions &amp; What Was Rejected</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19"/>
              </w:rPr>
              <w:t>Decision Area</w:t>
            </w:r>
          </w:p>
        </w:tc>
        <w:tc>
          <w:tcPr>
            <w:tcW w:type="dxa" w:w="3120"/>
            <w:shd w:fill="1E3A8A"/>
          </w:tcPr>
          <w:p>
            <w:r>
              <w:rPr>
                <w:b/>
                <w:color w:val="FFFFFF"/>
                <w:sz w:val="19"/>
              </w:rPr>
              <w:t>Chosen Approach</w:t>
            </w:r>
          </w:p>
        </w:tc>
        <w:tc>
          <w:tcPr>
            <w:tcW w:type="dxa" w:w="3120"/>
            <w:shd w:fill="1E3A8A"/>
          </w:tcPr>
          <w:p>
            <w:r>
              <w:rPr>
                <w:b/>
                <w:color w:val="FFFFFF"/>
                <w:sz w:val="19"/>
              </w:rPr>
              <w:t>Alternative Rejected &amp; Rationale</w:t>
            </w:r>
          </w:p>
        </w:tc>
      </w:tr>
      <w:tr>
        <w:tc>
          <w:tcPr>
            <w:tcW w:type="dxa" w:w="3120"/>
            <w:shd w:fill="F8FAFC"/>
          </w:tcPr>
          <w:p>
            <w:r>
              <w:rPr>
                <w:color w:val="0F172A"/>
                <w:sz w:val="18"/>
              </w:rPr>
              <w:t>Reasoning Layer</w:t>
            </w:r>
          </w:p>
        </w:tc>
        <w:tc>
          <w:tcPr>
            <w:tcW w:type="dxa" w:w="3120"/>
            <w:shd w:fill="F8FAFC"/>
          </w:tcPr>
          <w:p>
            <w:r>
              <w:rPr>
                <w:color w:val="0F172A"/>
                <w:sz w:val="18"/>
              </w:rPr>
              <w:t>2-Agent Structured Orchestrator with explicit state hand-off</w:t>
            </w:r>
          </w:p>
        </w:tc>
        <w:tc>
          <w:tcPr>
            <w:tcW w:type="dxa" w:w="3120"/>
            <w:shd w:fill="F8FAFC"/>
          </w:tcPr>
          <w:p>
            <w:r>
              <w:rPr>
                <w:color w:val="0F172A"/>
                <w:sz w:val="18"/>
              </w:rPr>
              <w:t>Unconstrained ReAct loop (Rejected: prone to infinite looping on negative search results).</w:t>
            </w:r>
          </w:p>
        </w:tc>
      </w:tr>
      <w:tr>
        <w:tc>
          <w:tcPr>
            <w:tcW w:type="dxa" w:w="3120"/>
            <w:shd w:fill="FFFFFF"/>
          </w:tcPr>
          <w:p>
            <w:r>
              <w:rPr>
                <w:color w:val="0F172A"/>
                <w:sz w:val="18"/>
              </w:rPr>
              <w:t>Retrieval Architecture</w:t>
            </w:r>
          </w:p>
        </w:tc>
        <w:tc>
          <w:tcPr>
            <w:tcW w:type="dxa" w:w="3120"/>
            <w:shd w:fill="FFFFFF"/>
          </w:tcPr>
          <w:p>
            <w:r>
              <w:rPr>
                <w:color w:val="0F172A"/>
                <w:sz w:val="18"/>
              </w:rPr>
              <w:t>2-Stage Dynamic Modifying Retrieval</w:t>
            </w:r>
          </w:p>
        </w:tc>
        <w:tc>
          <w:tcPr>
            <w:tcW w:type="dxa" w:w="3120"/>
            <w:shd w:fill="FFFFFF"/>
          </w:tcPr>
          <w:p>
            <w:r>
              <w:rPr>
                <w:color w:val="0F172A"/>
                <w:sz w:val="18"/>
              </w:rPr>
              <w:t>Single-pass RAG (Rejected: misses Section 4.1 waiting periods located pages away).</w:t>
            </w:r>
          </w:p>
        </w:tc>
      </w:tr>
      <w:tr>
        <w:tc>
          <w:tcPr>
            <w:tcW w:type="dxa" w:w="3120"/>
            <w:shd w:fill="F8FAFC"/>
          </w:tcPr>
          <w:p>
            <w:r>
              <w:rPr>
                <w:color w:val="0F172A"/>
                <w:sz w:val="18"/>
              </w:rPr>
              <w:t>Ingestion Boundary</w:t>
            </w:r>
          </w:p>
        </w:tc>
        <w:tc>
          <w:tcPr>
            <w:tcW w:type="dxa" w:w="3120"/>
            <w:shd w:fill="F8FAFC"/>
          </w:tcPr>
          <w:p>
            <w:r>
              <w:rPr>
                <w:color w:val="0F172A"/>
                <w:sz w:val="18"/>
              </w:rPr>
              <w:t>Pydantic v2 deterministic schema &amp; cross-field validator (D1)</w:t>
            </w:r>
          </w:p>
        </w:tc>
        <w:tc>
          <w:tcPr>
            <w:tcW w:type="dxa" w:w="3120"/>
            <w:shd w:fill="F8FAFC"/>
          </w:tcPr>
          <w:p>
            <w:r>
              <w:rPr>
                <w:color w:val="0F172A"/>
                <w:sz w:val="18"/>
              </w:rPr>
              <w:t>LLM-based intake validation (Rejected: non-deterministic, slow, vulnerable to jailbreaks).</w:t>
            </w:r>
          </w:p>
        </w:tc>
      </w:tr>
      <w:tr>
        <w:tc>
          <w:tcPr>
            <w:tcW w:type="dxa" w:w="3120"/>
            <w:shd w:fill="FFFFFF"/>
          </w:tcPr>
          <w:p>
            <w:r>
              <w:rPr>
                <w:color w:val="0F172A"/>
                <w:sz w:val="18"/>
              </w:rPr>
              <w:t>Vector Store</w:t>
            </w:r>
          </w:p>
        </w:tc>
        <w:tc>
          <w:tcPr>
            <w:tcW w:type="dxa" w:w="3120"/>
            <w:shd w:fill="FFFFFF"/>
          </w:tcPr>
          <w:p>
            <w:r>
              <w:rPr>
                <w:color w:val="0F172A"/>
                <w:sz w:val="18"/>
              </w:rPr>
              <w:t>Local Clause Index with BM25 + Exact Identifier Boosting</w:t>
            </w:r>
          </w:p>
        </w:tc>
        <w:tc>
          <w:tcPr>
            <w:tcW w:type="dxa" w:w="3120"/>
            <w:shd w:fill="FFFFFF"/>
          </w:tcPr>
          <w:p>
            <w:r>
              <w:rPr>
                <w:color w:val="0F172A"/>
                <w:sz w:val="18"/>
              </w:rPr>
              <w:t>External cloud Vector DB (Rejected: adds network latency, credentials, cost for static policy corpus).</w:t>
            </w:r>
          </w:p>
        </w:tc>
      </w:tr>
      <w:tr>
        <w:tc>
          <w:tcPr>
            <w:tcW w:type="dxa" w:w="3120"/>
            <w:shd w:fill="F8FAFC"/>
          </w:tcPr>
          <w:p>
            <w:r>
              <w:rPr>
                <w:color w:val="0F172A"/>
                <w:sz w:val="18"/>
              </w:rPr>
              <w:t>Fault Tolerance</w:t>
            </w:r>
          </w:p>
        </w:tc>
        <w:tc>
          <w:tcPr>
            <w:tcW w:type="dxa" w:w="3120"/>
            <w:shd w:fill="F8FAFC"/>
          </w:tcPr>
          <w:p>
            <w:r>
              <w:rPr>
                <w:color w:val="0F172A"/>
                <w:sz w:val="18"/>
              </w:rPr>
              <w:t>Circuit Breaker (3 fails) with Graceful Fallback (A5)</w:t>
            </w:r>
          </w:p>
        </w:tc>
        <w:tc>
          <w:tcPr>
            <w:tcW w:type="dxa" w:w="3120"/>
            <w:shd w:fill="F8FAFC"/>
          </w:tcPr>
          <w:p>
            <w:r>
              <w:rPr>
                <w:color w:val="0F172A"/>
                <w:sz w:val="18"/>
              </w:rPr>
              <w:t>Unbounded blind retries (Rejected: creates thundering herd and quota exhaustion during outages).</w:t>
            </w:r>
          </w:p>
        </w:tc>
      </w:tr>
    </w:tbl>
    <w:p>
      <w:pPr>
        <w:spacing w:before="320" w:after="120"/>
      </w:pPr>
      <w:r>
        <w:rPr>
          <w:b/>
          <w:color w:val="1E3A8A"/>
          <w:sz w:val="30"/>
        </w:rPr>
        <w:t>5. Evaluation Results: Before and After the Change (L2, L3)</w:t>
      </w:r>
    </w:p>
    <w:p>
      <w:pPr>
        <w:spacing w:after="120" w:line="276" w:lineRule="auto"/>
      </w:pPr>
      <w:r>
        <w:rPr>
          <w:color w:val="0F172A"/>
          <w:sz w:val="21"/>
        </w:rPr>
        <w:t>A fixed benchmark of 20 clinical scenarios (data/eval_scenarios.json) was evaluated across Prompt v1 (baseline single-pass) and Prompt v2 (verified CoT with 2-stage retrieval):</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sz w:val="19"/>
              </w:rPr>
              <w:t>Metric (TruLens Equivalent)</w:t>
            </w:r>
          </w:p>
        </w:tc>
        <w:tc>
          <w:tcPr>
            <w:tcW w:type="dxa" w:w="2340"/>
            <w:shd w:fill="1E3A8A"/>
          </w:tcPr>
          <w:p>
            <w:r>
              <w:rPr>
                <w:b/>
                <w:color w:val="FFFFFF"/>
                <w:sz w:val="19"/>
              </w:rPr>
              <w:t>Prompt v1 (Concise)</w:t>
            </w:r>
          </w:p>
        </w:tc>
        <w:tc>
          <w:tcPr>
            <w:tcW w:type="dxa" w:w="2340"/>
            <w:shd w:fill="1E3A8A"/>
          </w:tcPr>
          <w:p>
            <w:r>
              <w:rPr>
                <w:b/>
                <w:color w:val="FFFFFF"/>
                <w:sz w:val="19"/>
              </w:rPr>
              <w:t>Prompt v2 (Verified CoT)</w:t>
            </w:r>
          </w:p>
        </w:tc>
        <w:tc>
          <w:tcPr>
            <w:tcW w:type="dxa" w:w="2340"/>
            <w:shd w:fill="1E3A8A"/>
          </w:tcPr>
          <w:p>
            <w:r>
              <w:rPr>
                <w:b/>
                <w:color w:val="FFFFFF"/>
                <w:sz w:val="19"/>
              </w:rPr>
              <w:t>Delta / Improvement</w:t>
            </w:r>
          </w:p>
        </w:tc>
      </w:tr>
      <w:tr>
        <w:tc>
          <w:tcPr>
            <w:tcW w:type="dxa" w:w="2340"/>
            <w:shd w:fill="F8FAFC"/>
          </w:tcPr>
          <w:p>
            <w:r>
              <w:rPr>
                <w:color w:val="0F172A"/>
                <w:sz w:val="18"/>
              </w:rPr>
              <w:t>Routing Accuracy</w:t>
            </w:r>
          </w:p>
        </w:tc>
        <w:tc>
          <w:tcPr>
            <w:tcW w:type="dxa" w:w="2340"/>
            <w:shd w:fill="F8FAFC"/>
          </w:tcPr>
          <w:p>
            <w:r>
              <w:rPr>
                <w:color w:val="0F172A"/>
                <w:sz w:val="18"/>
              </w:rPr>
              <w:t>80.0%</w:t>
            </w:r>
          </w:p>
        </w:tc>
        <w:tc>
          <w:tcPr>
            <w:tcW w:type="dxa" w:w="2340"/>
            <w:shd w:fill="F8FAFC"/>
          </w:tcPr>
          <w:p>
            <w:r>
              <w:rPr>
                <w:color w:val="0F172A"/>
                <w:sz w:val="18"/>
              </w:rPr>
              <w:t>100.0%</w:t>
            </w:r>
          </w:p>
        </w:tc>
        <w:tc>
          <w:tcPr>
            <w:tcW w:type="dxa" w:w="2340"/>
            <w:shd w:fill="F8FAFC"/>
          </w:tcPr>
          <w:p>
            <w:r>
              <w:rPr>
                <w:b/>
                <w:color w:val="059669"/>
                <w:sz w:val="18"/>
              </w:rPr>
              <w:t>+20.0%</w:t>
            </w:r>
          </w:p>
        </w:tc>
      </w:tr>
      <w:tr>
        <w:tc>
          <w:tcPr>
            <w:tcW w:type="dxa" w:w="2340"/>
            <w:shd w:fill="FFFFFF"/>
          </w:tcPr>
          <w:p>
            <w:r>
              <w:rPr>
                <w:color w:val="0F172A"/>
                <w:sz w:val="18"/>
              </w:rPr>
              <w:t>Groundedness</w:t>
            </w:r>
          </w:p>
        </w:tc>
        <w:tc>
          <w:tcPr>
            <w:tcW w:type="dxa" w:w="2340"/>
            <w:shd w:fill="FFFFFF"/>
          </w:tcPr>
          <w:p>
            <w:r>
              <w:rPr>
                <w:color w:val="0F172A"/>
                <w:sz w:val="18"/>
              </w:rPr>
              <w:t>0.600</w:t>
            </w:r>
          </w:p>
        </w:tc>
        <w:tc>
          <w:tcPr>
            <w:tcW w:type="dxa" w:w="2340"/>
            <w:shd w:fill="FFFFFF"/>
          </w:tcPr>
          <w:p>
            <w:r>
              <w:rPr>
                <w:color w:val="0F172A"/>
                <w:sz w:val="18"/>
              </w:rPr>
              <w:t>0.925</w:t>
            </w:r>
          </w:p>
        </w:tc>
        <w:tc>
          <w:tcPr>
            <w:tcW w:type="dxa" w:w="2340"/>
            <w:shd w:fill="FFFFFF"/>
          </w:tcPr>
          <w:p>
            <w:r>
              <w:rPr>
                <w:b/>
                <w:color w:val="059669"/>
                <w:sz w:val="18"/>
              </w:rPr>
              <w:t>+0.325</w:t>
            </w:r>
          </w:p>
        </w:tc>
      </w:tr>
      <w:tr>
        <w:tc>
          <w:tcPr>
            <w:tcW w:type="dxa" w:w="2340"/>
            <w:shd w:fill="F8FAFC"/>
          </w:tcPr>
          <w:p>
            <w:r>
              <w:rPr>
                <w:color w:val="0F172A"/>
                <w:sz w:val="18"/>
              </w:rPr>
              <w:t>Context Relevance</w:t>
            </w:r>
          </w:p>
        </w:tc>
        <w:tc>
          <w:tcPr>
            <w:tcW w:type="dxa" w:w="2340"/>
            <w:shd w:fill="F8FAFC"/>
          </w:tcPr>
          <w:p>
            <w:r>
              <w:rPr>
                <w:color w:val="0F172A"/>
                <w:sz w:val="18"/>
              </w:rPr>
              <w:t>1.000</w:t>
            </w:r>
          </w:p>
        </w:tc>
        <w:tc>
          <w:tcPr>
            <w:tcW w:type="dxa" w:w="2340"/>
            <w:shd w:fill="F8FAFC"/>
          </w:tcPr>
          <w:p>
            <w:r>
              <w:rPr>
                <w:color w:val="0F172A"/>
                <w:sz w:val="18"/>
              </w:rPr>
              <w:t>1.000</w:t>
            </w:r>
          </w:p>
        </w:tc>
        <w:tc>
          <w:tcPr>
            <w:tcW w:type="dxa" w:w="2340"/>
            <w:shd w:fill="F8FAFC"/>
          </w:tcPr>
          <w:p>
            <w:r>
              <w:rPr>
                <w:color w:val="0F172A"/>
                <w:sz w:val="18"/>
              </w:rPr>
              <w:t>0.000</w:t>
            </w:r>
          </w:p>
        </w:tc>
      </w:tr>
      <w:tr>
        <w:tc>
          <w:tcPr>
            <w:tcW w:type="dxa" w:w="2340"/>
            <w:shd w:fill="FFFFFF"/>
          </w:tcPr>
          <w:p>
            <w:r>
              <w:rPr>
                <w:color w:val="0F172A"/>
                <w:sz w:val="18"/>
              </w:rPr>
              <w:t>Faithfulness</w:t>
            </w:r>
          </w:p>
        </w:tc>
        <w:tc>
          <w:tcPr>
            <w:tcW w:type="dxa" w:w="2340"/>
            <w:shd w:fill="FFFFFF"/>
          </w:tcPr>
          <w:p>
            <w:r>
              <w:rPr>
                <w:color w:val="0F172A"/>
                <w:sz w:val="18"/>
              </w:rPr>
              <w:t>0.650</w:t>
            </w:r>
          </w:p>
        </w:tc>
        <w:tc>
          <w:tcPr>
            <w:tcW w:type="dxa" w:w="2340"/>
            <w:shd w:fill="FFFFFF"/>
          </w:tcPr>
          <w:p>
            <w:r>
              <w:rPr>
                <w:color w:val="0F172A"/>
                <w:sz w:val="18"/>
              </w:rPr>
              <w:t>0.900</w:t>
            </w:r>
          </w:p>
        </w:tc>
        <w:tc>
          <w:tcPr>
            <w:tcW w:type="dxa" w:w="2340"/>
            <w:shd w:fill="FFFFFF"/>
          </w:tcPr>
          <w:p>
            <w:r>
              <w:rPr>
                <w:b/>
                <w:color w:val="059669"/>
                <w:sz w:val="18"/>
              </w:rPr>
              <w:t>+0.250</w:t>
            </w:r>
          </w:p>
        </w:tc>
      </w:tr>
      <w:tr>
        <w:tc>
          <w:tcPr>
            <w:tcW w:type="dxa" w:w="2340"/>
            <w:shd w:fill="F8FAFC"/>
          </w:tcPr>
          <w:p>
            <w:r>
              <w:rPr>
                <w:color w:val="0F172A"/>
                <w:sz w:val="18"/>
              </w:rPr>
              <w:t>Hallucination Rate</w:t>
            </w:r>
          </w:p>
        </w:tc>
        <w:tc>
          <w:tcPr>
            <w:tcW w:type="dxa" w:w="2340"/>
            <w:shd w:fill="F8FAFC"/>
          </w:tcPr>
          <w:p>
            <w:r>
              <w:rPr>
                <w:color w:val="0F172A"/>
                <w:sz w:val="18"/>
              </w:rPr>
              <w:t>0.350</w:t>
            </w:r>
          </w:p>
        </w:tc>
        <w:tc>
          <w:tcPr>
            <w:tcW w:type="dxa" w:w="2340"/>
            <w:shd w:fill="F8FAFC"/>
          </w:tcPr>
          <w:p>
            <w:r>
              <w:rPr>
                <w:color w:val="0F172A"/>
                <w:sz w:val="18"/>
              </w:rPr>
              <w:t>0.100</w:t>
            </w:r>
          </w:p>
        </w:tc>
        <w:tc>
          <w:tcPr>
            <w:tcW w:type="dxa" w:w="2340"/>
            <w:shd w:fill="F8FAFC"/>
          </w:tcPr>
          <w:p>
            <w:r>
              <w:rPr>
                <w:b/>
                <w:color w:val="DC2626"/>
                <w:sz w:val="18"/>
              </w:rPr>
              <w:t>-0.250 (25% reduction)</w:t>
            </w:r>
          </w:p>
        </w:tc>
      </w:tr>
      <w:tr>
        <w:tc>
          <w:tcPr>
            <w:tcW w:type="dxa" w:w="2340"/>
            <w:shd w:fill="FFFFFF"/>
          </w:tcPr>
          <w:p>
            <w:r>
              <w:rPr>
                <w:color w:val="0F172A"/>
                <w:sz w:val="18"/>
              </w:rPr>
              <w:t>Avg Latency (ms)</w:t>
            </w:r>
          </w:p>
        </w:tc>
        <w:tc>
          <w:tcPr>
            <w:tcW w:type="dxa" w:w="2340"/>
            <w:shd w:fill="FFFFFF"/>
          </w:tcPr>
          <w:p>
            <w:r>
              <w:rPr>
                <w:color w:val="0F172A"/>
                <w:sz w:val="18"/>
              </w:rPr>
              <w:t>68.4 ms</w:t>
            </w:r>
          </w:p>
        </w:tc>
        <w:tc>
          <w:tcPr>
            <w:tcW w:type="dxa" w:w="2340"/>
            <w:shd w:fill="FFFFFF"/>
          </w:tcPr>
          <w:p>
            <w:r>
              <w:rPr>
                <w:color w:val="0F172A"/>
                <w:sz w:val="18"/>
              </w:rPr>
              <w:t>69.0 ms</w:t>
            </w:r>
          </w:p>
        </w:tc>
        <w:tc>
          <w:tcPr>
            <w:tcW w:type="dxa" w:w="2340"/>
            <w:shd w:fill="FFFFFF"/>
          </w:tcPr>
          <w:p>
            <w:r>
              <w:rPr>
                <w:b/>
                <w:color w:val="059669"/>
                <w:sz w:val="18"/>
              </w:rPr>
              <w:t>+0.6 ms</w:t>
            </w:r>
          </w:p>
        </w:tc>
      </w:tr>
      <w:tr>
        <w:tc>
          <w:tcPr>
            <w:tcW w:type="dxa" w:w="2340"/>
            <w:shd w:fill="F8FAFC"/>
          </w:tcPr>
          <w:p>
            <w:r>
              <w:rPr>
                <w:color w:val="0F172A"/>
                <w:sz w:val="18"/>
              </w:rPr>
              <w:t>Cost / 100 Runs ($)</w:t>
            </w:r>
          </w:p>
        </w:tc>
        <w:tc>
          <w:tcPr>
            <w:tcW w:type="dxa" w:w="2340"/>
            <w:shd w:fill="F8FAFC"/>
          </w:tcPr>
          <w:p>
            <w:r>
              <w:rPr>
                <w:color w:val="0F172A"/>
                <w:sz w:val="18"/>
              </w:rPr>
              <w:t>$0.003587</w:t>
            </w:r>
          </w:p>
        </w:tc>
        <w:tc>
          <w:tcPr>
            <w:tcW w:type="dxa" w:w="2340"/>
            <w:shd w:fill="F8FAFC"/>
          </w:tcPr>
          <w:p>
            <w:r>
              <w:rPr>
                <w:color w:val="0F172A"/>
                <w:sz w:val="18"/>
              </w:rPr>
              <w:t>$0.004032</w:t>
            </w:r>
          </w:p>
        </w:tc>
        <w:tc>
          <w:tcPr>
            <w:tcW w:type="dxa" w:w="2340"/>
            <w:shd w:fill="F8FAFC"/>
          </w:tcPr>
          <w:p>
            <w:r>
              <w:rPr>
                <w:b/>
                <w:color w:val="059669"/>
                <w:sz w:val="18"/>
              </w:rPr>
              <w:t>+$0.000445</w:t>
            </w:r>
          </w:p>
        </w:tc>
      </w:tr>
    </w:tbl>
    <w:p>
      <w:pPr>
        <w:spacing w:before="320" w:after="120"/>
      </w:pPr>
      <w:r>
        <w:rPr>
          <w:b/>
          <w:color w:val="1E3A8A"/>
          <w:sz w:val="30"/>
        </w:rPr>
        <w:t>6. SLO, Locust Load Testing, Bottleneck &amp; Costs (D6, L5)</w:t>
      </w:r>
    </w:p>
    <w:p>
      <w:pPr>
        <w:pStyle w:val="ListBullet"/>
        <w:spacing w:after="80" w:line="276" w:lineRule="auto"/>
      </w:pPr>
      <w:r>
        <w:rPr>
          <w:b/>
          <w:color w:val="0F172A"/>
          <w:sz w:val="21"/>
        </w:rPr>
        <w:t xml:space="preserve">Declared SLO Target: </w:t>
      </w:r>
      <w:r>
        <w:rPr>
          <w:color w:val="0F172A"/>
          <w:sz w:val="21"/>
        </w:rPr>
        <w:t>Pre-declared p95 &lt;= 2.50s (2500 ms) from submission to final polling result, justified by the requirement to beat human underwriters (15-30 mins) while sustaining hospital peak admission traffic.</w:t>
      </w:r>
    </w:p>
    <w:p>
      <w:pPr>
        <w:pStyle w:val="ListBullet"/>
        <w:spacing w:after="80" w:line="276" w:lineRule="auto"/>
      </w:pPr>
      <w:r>
        <w:rPr>
          <w:b/>
          <w:color w:val="0F172A"/>
          <w:sz w:val="21"/>
        </w:rPr>
        <w:t xml:space="preserve">Locust Load Test Results: </w:t>
      </w:r>
      <w:r>
        <w:rPr>
          <w:color w:val="0F172A"/>
          <w:sz w:val="21"/>
        </w:rPr>
        <w:t>Measured p50 = 65.0ms, measured p95 = 140.0ms, maximum throughput = 264.2 RPS with 0.00% error rate on valid payloads, comfortably exceeding the declared SLO by an 18x margin.</w:t>
      </w:r>
    </w:p>
    <w:p>
      <w:pPr>
        <w:pStyle w:val="ListBullet"/>
        <w:spacing w:after="80" w:line="276" w:lineRule="auto"/>
      </w:pPr>
      <w:r>
        <w:rPr>
          <w:b/>
          <w:color w:val="0F172A"/>
          <w:sz w:val="21"/>
        </w:rPr>
        <w:t xml:space="preserve">Bottleneck Analysis: </w:t>
      </w:r>
      <w:r>
        <w:rPr>
          <w:color w:val="0F172A"/>
          <w:sz w:val="21"/>
        </w:rPr>
        <w:t>Under single-worker execution, client polling contention against run-state memory causes p95 to degrade at 450+ concurrent users. Scaling workers via 'docker compose up --scale agent-worker=3' resolves contention and restores p95 to 190ms at 500 users.</w:t>
      </w:r>
    </w:p>
    <w:p>
      <w:pPr>
        <w:pStyle w:val="ListBullet"/>
        <w:spacing w:after="80" w:line="276" w:lineRule="auto"/>
      </w:pPr>
      <w:r>
        <w:rPr>
          <w:b/>
          <w:color w:val="0F172A"/>
          <w:sz w:val="21"/>
        </w:rPr>
        <w:t xml:space="preserve">Cost per 100 Runs: </w:t>
      </w:r>
      <w:r>
        <w:rPr>
          <w:color w:val="0F172A"/>
          <w:sz w:val="21"/>
        </w:rPr>
        <w:t>Calculated at Gemini 1.5 Flash rates: $0.004032 per 100 runs. The largest cost driver is the Stage 2 adjudication prompt (68% of token spend due to verbatim clause context injection).</w:t>
      </w:r>
    </w:p>
    <w:p>
      <w:pPr>
        <w:spacing w:before="320" w:after="120"/>
      </w:pPr>
      <w:r>
        <w:rPr>
          <w:b/>
          <w:color w:val="1E3A8A"/>
          <w:sz w:val="30"/>
        </w:rPr>
        <w:t>7. What Did Not Work (Development Lessons &amp; Failures)</w:t>
      </w:r>
    </w:p>
    <w:p>
      <w:pPr>
        <w:pStyle w:val="ListBullet"/>
        <w:spacing w:after="80" w:line="276" w:lineRule="auto"/>
      </w:pPr>
      <w:r>
        <w:rPr>
          <w:b/>
          <w:color w:val="0F172A"/>
          <w:sz w:val="21"/>
        </w:rPr>
        <w:t xml:space="preserve">Dense Embedding Search on Clause Numbers: </w:t>
      </w:r>
      <w:r>
        <w:rPr>
          <w:color w:val="0F172A"/>
          <w:sz w:val="21"/>
        </w:rPr>
        <w:t>Initially, search queries like 'Clause 2.2 waiting period' were embedded via dense vectors. Because embeddings capture semantic concepts rather than alphanumeric tokens, scores for 'Clause 2.2' were lower than generic clauses mentioning 'period'. Remediated by adding BM25 lexical search with exact clause ID token boosting (+10.0 score boost).</w:t>
      </w:r>
    </w:p>
    <w:p>
      <w:pPr>
        <w:pStyle w:val="ListBullet"/>
        <w:spacing w:after="80" w:line="276" w:lineRule="auto"/>
      </w:pPr>
      <w:r>
        <w:rPr>
          <w:b/>
          <w:color w:val="0F172A"/>
          <w:sz w:val="21"/>
        </w:rPr>
        <w:t xml:space="preserve">Regex ReDoS in Ingestion Validation: </w:t>
      </w:r>
      <w:r>
        <w:rPr>
          <w:color w:val="0F172A"/>
          <w:sz w:val="21"/>
        </w:rPr>
        <w:t>An unescaped regular expression for ICD-10 clinical classification caused catastrophic backtracking when subjected to long, malformed strings during load testing, locking the ingestion thread. Remediated by replacing with an anchored, pre-compiled regex ^[A-Z][0-9]{2}(\.[0-9]{1,2})?$ (Incident INC-2026-1025-01).</w:t>
      </w:r>
    </w:p>
    <w:p>
      <w:pPr>
        <w:pStyle w:val="ListBullet"/>
        <w:spacing w:after="80" w:line="276" w:lineRule="auto"/>
      </w:pPr>
      <w:r>
        <w:rPr>
          <w:b/>
          <w:color w:val="0F172A"/>
          <w:sz w:val="21"/>
        </w:rPr>
        <w:t xml:space="preserve">Self-Verification False Rejections on Day Care Cover: </w:t>
      </w:r>
      <w:r>
        <w:rPr>
          <w:color w:val="0F172A"/>
          <w:sz w:val="21"/>
        </w:rPr>
        <w:t>Adjudication Agent initially defaulted to citing SEC-COV-INP. For day-care admissions, Agent 1 retrieved SEC-COV-DAYCARE, causing self-verification to falsely flag the citation as unresolved. Remediated by aligning baseline coverage citation with admission_type.</w:t>
      </w:r>
    </w:p>
    <w:p>
      <w:pPr>
        <w:spacing w:before="320" w:after="120"/>
      </w:pPr>
      <w:r>
        <w:rPr>
          <w:b/>
          <w:color w:val="1E3A8A"/>
          <w:sz w:val="30"/>
        </w:rPr>
        <w:t>8. Demonstration Verification Matrix (All 10 Items)</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19"/>
              </w:rPr>
              <w:t>Item #</w:t>
            </w:r>
          </w:p>
        </w:tc>
        <w:tc>
          <w:tcPr>
            <w:tcW w:type="dxa" w:w="3120"/>
            <w:shd w:fill="1E3A8A"/>
          </w:tcPr>
          <w:p>
            <w:r>
              <w:rPr>
                <w:b/>
                <w:color w:val="FFFFFF"/>
                <w:sz w:val="19"/>
              </w:rPr>
              <w:t>PDF Demonstration Requirement</w:t>
            </w:r>
          </w:p>
        </w:tc>
        <w:tc>
          <w:tcPr>
            <w:tcW w:type="dxa" w:w="3120"/>
            <w:shd w:fill="1E3A8A"/>
          </w:tcPr>
          <w:p>
            <w:r>
              <w:rPr>
                <w:b/>
                <w:color w:val="FFFFFF"/>
                <w:sz w:val="19"/>
              </w:rPr>
              <w:t>Verification Proof in System</w:t>
            </w:r>
          </w:p>
        </w:tc>
      </w:tr>
      <w:tr>
        <w:tc>
          <w:tcPr>
            <w:tcW w:type="dxa" w:w="3120"/>
            <w:shd w:fill="F8FAFC"/>
          </w:tcPr>
          <w:p>
            <w:r>
              <w:rPr>
                <w:b/>
                <w:color w:val="0F172A"/>
                <w:sz w:val="18"/>
              </w:rPr>
              <w:t>1</w:t>
            </w:r>
          </w:p>
        </w:tc>
        <w:tc>
          <w:tcPr>
            <w:tcW w:type="dxa" w:w="3120"/>
            <w:shd w:fill="F8FAFC"/>
          </w:tcPr>
          <w:p>
            <w:r>
              <w:rPr>
                <w:color w:val="0F172A"/>
                <w:sz w:val="18"/>
              </w:rPr>
              <w:t>docker compose up clean clone</w:t>
            </w:r>
          </w:p>
        </w:tc>
        <w:tc>
          <w:tcPr>
            <w:tcW w:type="dxa" w:w="3120"/>
            <w:shd w:fill="F8FAFC"/>
          </w:tcPr>
          <w:p>
            <w:r>
              <w:rPr>
                <w:color w:val="0F172A"/>
                <w:sz w:val="18"/>
              </w:rPr>
              <w:t>Verified with docker compose up -d; all 4 containers start healthy.</w:t>
            </w:r>
          </w:p>
        </w:tc>
      </w:tr>
      <w:tr>
        <w:tc>
          <w:tcPr>
            <w:tcW w:type="dxa" w:w="3120"/>
            <w:shd w:fill="FFFFFF"/>
          </w:tcPr>
          <w:p>
            <w:r>
              <w:rPr>
                <w:b/>
                <w:color w:val="0F172A"/>
                <w:sz w:val="18"/>
              </w:rPr>
              <w:t>2</w:t>
            </w:r>
          </w:p>
        </w:tc>
        <w:tc>
          <w:tcPr>
            <w:tcW w:type="dxa" w:w="3120"/>
            <w:shd w:fill="FFFFFF"/>
          </w:tcPr>
          <w:p>
            <w:r>
              <w:rPr>
                <w:color w:val="0F172A"/>
                <w:sz w:val="18"/>
              </w:rPr>
              <w:t>Valid request producing routed recommendation</w:t>
            </w:r>
          </w:p>
        </w:tc>
        <w:tc>
          <w:tcPr>
            <w:tcW w:type="dxa" w:w="3120"/>
            <w:shd w:fill="FFFFFF"/>
          </w:tcPr>
          <w:p>
            <w:r>
              <w:rPr>
                <w:color w:val="0F172A"/>
                <w:sz w:val="18"/>
              </w:rPr>
              <w:t>Scenario 02 (Cataract 36m) approves Rs. 40,000 citing SEC-COV-DAYCARE &amp; SEC-SUBLIM-CATARACT.</w:t>
            </w:r>
          </w:p>
        </w:tc>
      </w:tr>
      <w:tr>
        <w:tc>
          <w:tcPr>
            <w:tcW w:type="dxa" w:w="3120"/>
            <w:shd w:fill="F8FAFC"/>
          </w:tcPr>
          <w:p>
            <w:r>
              <w:rPr>
                <w:b/>
                <w:color w:val="0F172A"/>
                <w:sz w:val="18"/>
              </w:rPr>
              <w:t>3</w:t>
            </w:r>
          </w:p>
        </w:tc>
        <w:tc>
          <w:tcPr>
            <w:tcW w:type="dxa" w:w="3120"/>
            <w:shd w:fill="F8FAFC"/>
          </w:tcPr>
          <w:p>
            <w:r>
              <w:rPr>
                <w:color w:val="0F172A"/>
                <w:sz w:val="18"/>
              </w:rPr>
              <w:t>Run traced end to end</w:t>
            </w:r>
          </w:p>
        </w:tc>
        <w:tc>
          <w:tcPr>
            <w:tcW w:type="dxa" w:w="3120"/>
            <w:shd w:fill="F8FAFC"/>
          </w:tcPr>
          <w:p>
            <w:r>
              <w:rPr>
                <w:color w:val="0F172A"/>
                <w:sz w:val="18"/>
              </w:rPr>
              <w:t>Per-step timeline logs thoughts, tool calls, prompt version, latency (ms), and cost ($).</w:t>
            </w:r>
          </w:p>
        </w:tc>
      </w:tr>
      <w:tr>
        <w:tc>
          <w:tcPr>
            <w:tcW w:type="dxa" w:w="3120"/>
            <w:shd w:fill="FFFFFF"/>
          </w:tcPr>
          <w:p>
            <w:r>
              <w:rPr>
                <w:b/>
                <w:color w:val="0F172A"/>
                <w:sz w:val="18"/>
              </w:rPr>
              <w:t>4</w:t>
            </w:r>
          </w:p>
        </w:tc>
        <w:tc>
          <w:tcPr>
            <w:tcW w:type="dxa" w:w="3120"/>
            <w:shd w:fill="FFFFFF"/>
          </w:tcPr>
          <w:p>
            <w:r>
              <w:rPr>
                <w:color w:val="0F172A"/>
                <w:sz w:val="18"/>
              </w:rPr>
              <w:t>Malformed request quarantined</w:t>
            </w:r>
          </w:p>
        </w:tc>
        <w:tc>
          <w:tcPr>
            <w:tcW w:type="dxa" w:w="3120"/>
            <w:shd w:fill="FFFFFF"/>
          </w:tcPr>
          <w:p>
            <w:r>
              <w:rPr>
                <w:color w:val="0F172A"/>
                <w:sz w:val="18"/>
              </w:rPr>
              <w:t>Demo Item 04 rejects with HTTP 422; payload saved to data/quarantine/; zero agent runs start.</w:t>
            </w:r>
          </w:p>
        </w:tc>
      </w:tr>
      <w:tr>
        <w:tc>
          <w:tcPr>
            <w:tcW w:type="dxa" w:w="3120"/>
            <w:shd w:fill="F8FAFC"/>
          </w:tcPr>
          <w:p>
            <w:r>
              <w:rPr>
                <w:b/>
                <w:color w:val="0F172A"/>
                <w:sz w:val="18"/>
              </w:rPr>
              <w:t>5</w:t>
            </w:r>
          </w:p>
        </w:tc>
        <w:tc>
          <w:tcPr>
            <w:tcW w:type="dxa" w:w="3120"/>
            <w:shd w:fill="F8FAFC"/>
          </w:tcPr>
          <w:p>
            <w:r>
              <w:rPr>
                <w:color w:val="0F172A"/>
                <w:sz w:val="18"/>
              </w:rPr>
              <w:t>Out of corpus condition escalated</w:t>
            </w:r>
          </w:p>
        </w:tc>
        <w:tc>
          <w:tcPr>
            <w:tcW w:type="dxa" w:w="3120"/>
            <w:shd w:fill="F8FAFC"/>
          </w:tcPr>
          <w:p>
            <w:r>
              <w:rPr>
                <w:color w:val="0F172A"/>
                <w:sz w:val="18"/>
              </w:rPr>
              <w:t>Scenario 19 (Robotic Dental Veneers) escalates cleanly to medical-review without hallucination.</w:t>
            </w:r>
          </w:p>
        </w:tc>
      </w:tr>
      <w:tr>
        <w:tc>
          <w:tcPr>
            <w:tcW w:type="dxa" w:w="3120"/>
            <w:shd w:fill="FFFFFF"/>
          </w:tcPr>
          <w:p>
            <w:r>
              <w:rPr>
                <w:b/>
                <w:color w:val="0F172A"/>
                <w:sz w:val="18"/>
              </w:rPr>
              <w:t>6</w:t>
            </w:r>
          </w:p>
        </w:tc>
        <w:tc>
          <w:tcPr>
            <w:tcW w:type="dxa" w:w="3120"/>
            <w:shd w:fill="FFFFFF"/>
          </w:tcPr>
          <w:p>
            <w:r>
              <w:rPr>
                <w:color w:val="0F172A"/>
                <w:sz w:val="18"/>
              </w:rPr>
              <w:t>Self-verification catching unsupported answer</w:t>
            </w:r>
          </w:p>
        </w:tc>
        <w:tc>
          <w:tcPr>
            <w:tcW w:type="dxa" w:w="3120"/>
            <w:shd w:fill="FFFFFF"/>
          </w:tcPr>
          <w:p>
            <w:r>
              <w:rPr>
                <w:color w:val="0F172A"/>
                <w:sz w:val="18"/>
              </w:rPr>
              <w:t>Agent 2 verifies citations against retrieved text; unverified assertions are escalated.</w:t>
            </w:r>
          </w:p>
        </w:tc>
      </w:tr>
      <w:tr>
        <w:tc>
          <w:tcPr>
            <w:tcW w:type="dxa" w:w="3120"/>
            <w:shd w:fill="F8FAFC"/>
          </w:tcPr>
          <w:p>
            <w:r>
              <w:rPr>
                <w:b/>
                <w:color w:val="0F172A"/>
                <w:sz w:val="18"/>
              </w:rPr>
              <w:t>7</w:t>
            </w:r>
          </w:p>
        </w:tc>
        <w:tc>
          <w:tcPr>
            <w:tcW w:type="dxa" w:w="3120"/>
            <w:shd w:fill="F8FAFC"/>
          </w:tcPr>
          <w:p>
            <w:r>
              <w:rPr>
                <w:color w:val="0F172A"/>
                <w:sz w:val="18"/>
              </w:rPr>
              <w:t>Prompt injection defense</w:t>
            </w:r>
          </w:p>
        </w:tc>
        <w:tc>
          <w:tcPr>
            <w:tcW w:type="dxa" w:w="3120"/>
            <w:shd w:fill="F8FAFC"/>
          </w:tcPr>
          <w:p>
            <w:r>
              <w:rPr>
                <w:color w:val="0F172A"/>
                <w:sz w:val="18"/>
              </w:rPr>
              <w:t>Scenario 18 detects adversarial instruction overrides and quarantines request with Rs. 0 approved.</w:t>
            </w:r>
          </w:p>
        </w:tc>
      </w:tr>
      <w:tr>
        <w:tc>
          <w:tcPr>
            <w:tcW w:type="dxa" w:w="3120"/>
            <w:shd w:fill="FFFFFF"/>
          </w:tcPr>
          <w:p>
            <w:r>
              <w:rPr>
                <w:b/>
                <w:color w:val="0F172A"/>
                <w:sz w:val="18"/>
              </w:rPr>
              <w:t>8</w:t>
            </w:r>
          </w:p>
        </w:tc>
        <w:tc>
          <w:tcPr>
            <w:tcW w:type="dxa" w:w="3120"/>
            <w:shd w:fill="FFFFFF"/>
          </w:tcPr>
          <w:p>
            <w:r>
              <w:rPr>
                <w:color w:val="0F172A"/>
                <w:sz w:val="18"/>
              </w:rPr>
              <w:t>Circuit breaker opening &amp; degradation path</w:t>
            </w:r>
          </w:p>
        </w:tc>
        <w:tc>
          <w:tcPr>
            <w:tcW w:type="dxa" w:w="3120"/>
            <w:shd w:fill="FFFFFF"/>
          </w:tcPr>
          <w:p>
            <w:r>
              <w:rPr>
                <w:color w:val="0F172A"/>
                <w:sz w:val="18"/>
              </w:rPr>
              <w:t>Toggling circuit breaker sets state to OPEN; requests degrade gracefully to medical-review.</w:t>
            </w:r>
          </w:p>
        </w:tc>
      </w:tr>
      <w:tr>
        <w:tc>
          <w:tcPr>
            <w:tcW w:type="dxa" w:w="3120"/>
            <w:shd w:fill="F8FAFC"/>
          </w:tcPr>
          <w:p>
            <w:r>
              <w:rPr>
                <w:b/>
                <w:color w:val="0F172A"/>
                <w:sz w:val="18"/>
              </w:rPr>
              <w:t>9</w:t>
            </w:r>
          </w:p>
        </w:tc>
        <w:tc>
          <w:tcPr>
            <w:tcW w:type="dxa" w:w="3120"/>
            <w:shd w:fill="F8FAFC"/>
          </w:tcPr>
          <w:p>
            <w:r>
              <w:rPr>
                <w:color w:val="0F172A"/>
                <w:sz w:val="18"/>
              </w:rPr>
              <w:t>Locust load test results against SLO</w:t>
            </w:r>
          </w:p>
        </w:tc>
        <w:tc>
          <w:tcPr>
            <w:tcW w:type="dxa" w:w="3120"/>
            <w:shd w:fill="F8FAFC"/>
          </w:tcPr>
          <w:p>
            <w:r>
              <w:rPr>
                <w:color w:val="0F172A"/>
                <w:sz w:val="18"/>
              </w:rPr>
              <w:t>Measured p95 (~140ms) meets declared target (2500ms) with 264 RPS.</w:t>
            </w:r>
          </w:p>
        </w:tc>
      </w:tr>
      <w:tr>
        <w:tc>
          <w:tcPr>
            <w:tcW w:type="dxa" w:w="3120"/>
            <w:shd w:fill="FFFFFF"/>
          </w:tcPr>
          <w:p>
            <w:r>
              <w:rPr>
                <w:b/>
                <w:color w:val="0F172A"/>
                <w:sz w:val="18"/>
              </w:rPr>
              <w:t>10</w:t>
            </w:r>
          </w:p>
        </w:tc>
        <w:tc>
          <w:tcPr>
            <w:tcW w:type="dxa" w:w="3120"/>
            <w:shd w:fill="FFFFFF"/>
          </w:tcPr>
          <w:p>
            <w:r>
              <w:rPr>
                <w:color w:val="0F172A"/>
                <w:sz w:val="18"/>
              </w:rPr>
              <w:t>Section 4.1 Difficult Case</w:t>
            </w:r>
          </w:p>
        </w:tc>
        <w:tc>
          <w:tcPr>
            <w:tcW w:type="dxa" w:w="3120"/>
            <w:shd w:fill="FFFFFF"/>
          </w:tcPr>
          <w:p>
            <w:r>
              <w:rPr>
                <w:color w:val="0F172A"/>
                <w:sz w:val="18"/>
              </w:rPr>
              <w:t>Scenario 01 routes to medical-review citing BOTH SEC-COV-DAYCARE &amp; SEC-WAIT-24M-SPECIFIC.</w:t>
            </w:r>
          </w:p>
        </w:tc>
      </w:tr>
    </w:tbl>
    <w:p>
      <w:pPr>
        <w:spacing w:before="320" w:after="120"/>
      </w:pPr>
      <w:r>
        <w:rPr>
          <w:b/>
          <w:color w:val="1E3A8A"/>
          <w:sz w:val="30"/>
        </w:rPr>
        <w:t>9. Conclusion</w:t>
      </w:r>
    </w:p>
    <w:p>
      <w:pPr>
        <w:spacing w:after="120" w:line="276" w:lineRule="auto"/>
      </w:pPr>
      <w:r>
        <w:rPr>
          <w:color w:val="0F172A"/>
          <w:sz w:val="21"/>
        </w:rPr>
        <w:t>The Health Insurance Pre-Authorisation Desk demonstrates that autonomous multi-agent systems, when governed by deterministic data contracts, 2-stage dynamic modifying retrieval, strict self-verification, and operational circuit breakers, resolve the fundamental failure modes of naive RAG pipelines. By catching modifying provisions located pages away from primary cover clauses, the system eliminates false approvals while empowering human medical officers with verifiable, evidence-grounded recommendations within sub-second response times.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