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Ideation Phase</w:t>
        <w:br/>
        <w:t>Empathize &amp; Discover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32"/>
        </w:rPr>
        <w:t>Empathy Map Canvas</w:t>
      </w:r>
    </w:p>
    <w:p>
      <w:r>
        <w:rPr>
          <w:rFonts w:ascii="Arial" w:hAnsi="Arial"/>
          <w:sz w:val="21"/>
        </w:rPr>
        <w:t>An empathy map is a visual framework that captures user insights regarding ServiceNow Incident Form navigation, field validation, and workflow usability.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9FAFB"/>
          </w:tcPr>
          <w:p>
            <w:r>
              <w:rPr>
                <w:rFonts w:ascii="Arial" w:hAnsi="Arial"/>
                <w:b/>
                <w:color w:val="003366"/>
                <w:sz w:val="22"/>
              </w:rPr>
              <w:t>1. THINK &amp; FEEL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What really counts: Fast ticket logging without manual errors and quick incident triage.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Preoccupations: High mean time to resolution (MTTR) caused by missing mandatory fields.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Worries: Submitting incomplete incidents that delay assignment group routing.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Aspirations: Having an intuitive ServiceNow UI that auto-fills details and dynamically hides irrelevant fields.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Arial" w:hAnsi="Arial"/>
                <w:b/>
                <w:color w:val="003366"/>
                <w:sz w:val="22"/>
              </w:rPr>
              <w:t>2. SEE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Environment: A crowded incident form with dozens of mandatory and optional fields visible at once.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Colleagues: Service desk peers manually filling repeating fields and making copy-paste errors.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System State: Forms lacking real-time client-side validation until the submit button is clicked.</w:t>
            </w:r>
          </w:p>
        </w:tc>
      </w:tr>
      <w:tr>
        <w:tc>
          <w:tcPr>
            <w:tcW w:type="dxa" w:w="4680"/>
            <w:shd w:val="clear" w:color="auto" w:fill="F9FAFB"/>
          </w:tcPr>
          <w:p>
            <w:r>
              <w:rPr>
                <w:rFonts w:ascii="Arial" w:hAnsi="Arial"/>
                <w:b/>
                <w:color w:val="003366"/>
                <w:sz w:val="22"/>
              </w:rPr>
              <w:t>3. HEAR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From IT Manager: 'Ensure resolution details and priority values are strictly validated before closing tickets.'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From End Users: 'Why does it take so long to update or resolve my incident?'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From L2 Support: 'Incidents are often routed to wrong groups due to incorrect field selection.'</w:t>
            </w:r>
          </w:p>
        </w:tc>
        <w:tc>
          <w:tcPr>
            <w:tcW w:type="dxa" w:w="4680"/>
            <w:shd w:val="clear" w:color="auto" w:fill="F9FAFB"/>
          </w:tcPr>
          <w:p>
            <w:r>
              <w:rPr>
                <w:rFonts w:ascii="Arial" w:hAnsi="Arial"/>
                <w:b/>
                <w:color w:val="003366"/>
                <w:sz w:val="22"/>
              </w:rPr>
              <w:t>4. SAY &amp; DO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Behavior: Spends extra time manually filling repetitive incident details.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Public Attitude: Expresses annoyance when mandatory fields aren't clear until form submission fails.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Actions: Manually sets priority, state, and assignment group instead of automated UI policies doing it.</w:t>
            </w:r>
          </w:p>
        </w:tc>
      </w:tr>
    </w:tbl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C0392B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PAIN (Fears, Frustrations, Obstacles)</w:t>
            </w:r>
          </w:p>
        </w:tc>
        <w:tc>
          <w:tcPr>
            <w:tcW w:type="dxa" w:w="4680"/>
            <w:shd w:val="clear" w:color="auto" w:fill="27AE6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GAIN (Wants, Needs, Success Measures)</w:t>
            </w:r>
          </w:p>
        </w:tc>
      </w:tr>
      <w:tr>
        <w:tc>
          <w:tcPr>
            <w:tcW w:type="dxa" w:w="4680"/>
            <w:shd w:val="clear" w:color="auto" w:fill="FDEDEC"/>
          </w:tcPr>
          <w:p/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Cluttered incident form layout leading to user confusion.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Data inconsistency and invalid entries on form submit.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Manual effort required to show/hide fields based on incident state or impact.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SLA breaches due to slow ticket logging and improper validation.</w:t>
            </w:r>
          </w:p>
        </w:tc>
        <w:tc>
          <w:tcPr>
            <w:tcW w:type="dxa" w:w="4680"/>
            <w:shd w:val="clear" w:color="auto" w:fill="EAFAF1"/>
          </w:tcPr>
          <w:p/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Dynamic UI policies that automatically hide/show fields based on priority &amp; state.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Client scripts that perform instant real-time field validations before saving.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Faster incident logging, reducing resolution time and agent workload.</w:t>
            </w:r>
          </w:p>
          <w:p>
            <w:pPr>
              <w:pStyle w:val="ListBullet"/>
            </w:pPr>
            <w:r>
              <w:rPr>
                <w:rFonts w:ascii="Arial" w:hAnsi="Arial"/>
                <w:sz w:val="19"/>
              </w:rPr>
              <w:t>Clean, standardized data quality across all ServiceNow incident tickets.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