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40"/>
        </w:rPr>
        <w:t>Project Design Phase-II</w:t>
        <w:br/>
        <w:t>Solution Requirements (Functional &amp; Non-functional)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Date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30 September 2026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Team ID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6abc969eb421e718caa5c10d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Project Name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Implement Client Script &amp; UI Policy (Incident)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rFonts w:ascii="Arial" w:hAnsi="Arial"/>
                <w:b/>
              </w:rPr>
              <w:t>Maximum Marks</w:t>
            </w:r>
          </w:p>
        </w:tc>
        <w:tc>
          <w:tcPr>
            <w:tcW w:type="dxa" w:w="6480"/>
          </w:tcPr>
          <w:p>
            <w:r>
              <w:rPr>
                <w:rFonts w:ascii="Arial" w:hAnsi="Arial"/>
              </w:rPr>
              <w:t>4 Marks</w:t>
            </w:r>
          </w:p>
        </w:tc>
      </w:tr>
    </w:tbl>
    <w:p>
      <w:pPr>
        <w:spacing w:after="360"/>
      </w:pPr>
    </w:p>
    <w:p>
      <w:r>
        <w:rPr>
          <w:rFonts w:ascii="Arial" w:hAnsi="Arial"/>
          <w:b/>
          <w:color w:val="003366"/>
          <w:sz w:val="28"/>
        </w:rPr>
        <w:t>Functional Requirements:</w:t>
      </w:r>
    </w:p>
    <w:p>
      <w:r>
        <w:rPr>
          <w:rFonts w:ascii="Arial" w:hAnsi="Arial"/>
        </w:rPr>
        <w:t>Following are the functional requirements of the proposed solution.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FR No.</w:t>
            </w:r>
          </w:p>
        </w:tc>
        <w:tc>
          <w:tcPr>
            <w:tcW w:type="dxa" w:w="3312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Functional Requirement (Epic)</w:t>
            </w:r>
          </w:p>
        </w:tc>
        <w:tc>
          <w:tcPr>
            <w:tcW w:type="dxa" w:w="432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Sub Requirement (Story / Sub-Task)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FR-1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Client-Side Form Validation (Client Script)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Validate field format (Email, Phone, Caller) on change</w:t>
              <w:br/>
              <w:t>Prevent form submission if mandatory fields are invalid</w:t>
              <w:br/>
              <w:t>Display real-time error messages dynamically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FR-2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Dynamic Field Visibility &amp; Behavior (UI Policy)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Dynamically hide/show 'Resolution Notes' based on Incident State</w:t>
              <w:br/>
              <w:t>Set fields as Read-Only once Incident is Resolved/Closed</w:t>
              <w:br/>
              <w:t>Make 'Work Notes' mandatory on Priority 1 incidents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FR-3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Automated Field Population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Auto-populate Caller contact details on Caller selection</w:t>
              <w:br/>
              <w:t>Set default Incident State to 'New' on form load</w:t>
              <w:br/>
              <w:t>Auto-calculate Impact &amp; Urgency to determine Priority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FR-4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Role-Based UI Control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Restrict modification of critical fields based on user role</w:t>
              <w:br/>
              <w:t>Highlight VIP callers dynamically on the Incident form</w:t>
            </w:r>
          </w:p>
        </w:tc>
      </w:tr>
    </w:tbl>
    <w:p>
      <w:pPr>
        <w:spacing w:after="360"/>
      </w:pPr>
    </w:p>
    <w:p>
      <w:r>
        <w:rPr>
          <w:rFonts w:ascii="Arial" w:hAnsi="Arial"/>
          <w:b/>
          <w:color w:val="003366"/>
          <w:sz w:val="28"/>
        </w:rPr>
        <w:t>Non-functional Requirements:</w:t>
      </w:r>
    </w:p>
    <w:p>
      <w:r>
        <w:rPr>
          <w:rFonts w:ascii="Arial" w:hAnsi="Arial"/>
        </w:rPr>
        <w:t>Following are the non-functional requirements of the proposed solution.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NFR No.</w:t>
            </w:r>
          </w:p>
        </w:tc>
        <w:tc>
          <w:tcPr>
            <w:tcW w:type="dxa" w:w="2880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Non-Functional Requirement</w:t>
            </w:r>
          </w:p>
        </w:tc>
        <w:tc>
          <w:tcPr>
            <w:tcW w:type="dxa" w:w="4752"/>
            <w:shd w:val="clear" w:color="auto" w:fill="00336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NFR-1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Usability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The incident form must provide clear, intuitive, and immediate visual feedback when validations fail.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NFR-2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Security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Client scripts must execute within restricted scope and prevent unauthorized script execution or data manipulation.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NFR-3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Reliability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UI policies and scripts must reliably execute across all supported modern browsers without crashing form render.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NFR-4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Performance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Client scripts and UI policies must render within 200ms to ensure no noticeable input lag for support agents.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NFR-5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Availability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rFonts w:ascii="Arial" w:hAnsi="Arial"/>
                <w:sz w:val="19"/>
              </w:rPr>
              <w:t>Form logic must operate continuously with 99.9% uptime aligned with ServiceNow platform availability.</w:t>
            </w:r>
          </w:p>
        </w:tc>
      </w:tr>
      <w:tr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NFR-6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Scalability</w:t>
            </w:r>
          </w:p>
        </w:tc>
        <w:tc>
          <w:tcPr>
            <w:tcW w:type="dxa" w:w="3120"/>
            <w:shd w:val="clear" w:color="auto" w:fill="F9FAFB"/>
          </w:tcPr>
          <w:p>
            <w:r>
              <w:rPr>
                <w:rFonts w:ascii="Arial" w:hAnsi="Arial"/>
                <w:sz w:val="19"/>
              </w:rPr>
              <w:t>Scripts must efficiently handle high volumes of simultaneous incident entries without impacting platform responsiveness.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