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Project Development Phase - Model Performance Test</w:t>
      </w:r>
    </w:p>
    <w:p>
      <w:pPr>
        <w:jc w:val="center"/>
      </w:pPr>
      <w:r>
        <w:rPr>
          <w:rFonts w:ascii="Arial" w:hAnsi="Arial"/>
          <w:i/>
          <w:color w:val="646464"/>
          <w:sz w:val="26"/>
        </w:rPr>
        <w:t>Machine Learning Model Performance &amp; Testing Specifications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30 September 2026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6abc969eb421e718caa5c10d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Implement Client Script &amp; UI Policy (Incident)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10 Marks</w:t>
            </w:r>
          </w:p>
        </w:tc>
      </w:tr>
    </w:tbl>
    <w:p>
      <w:pPr>
        <w:spacing w:after="280"/>
      </w:pPr>
    </w:p>
    <w:p>
      <w:r>
        <w:rPr>
          <w:rFonts w:ascii="Arial" w:hAnsi="Arial"/>
          <w:b/>
          <w:color w:val="003366"/>
          <w:sz w:val="28"/>
        </w:rPr>
        <w:t>Model Performance Testing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</w:rPr>
              <w:t>S.No.</w:t>
            </w:r>
          </w:p>
        </w:tc>
        <w:tc>
          <w:tcPr>
            <w:tcW w:type="dxa" w:w="312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</w:rPr>
              <w:t>Parameter</w:t>
            </w:r>
          </w:p>
        </w:tc>
        <w:tc>
          <w:tcPr>
            <w:tcW w:type="dxa" w:w="312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</w:rPr>
              <w:t>Values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1.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Metrics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Regression Model:</w:t>
              <w:br/>
              <w:t>• MAE: 0.12</w:t>
              <w:br/>
              <w:t>• MSE: 0.03</w:t>
              <w:br/>
              <w:t>• RMSE: 0.17</w:t>
              <w:br/>
              <w:t>• R2 Score: 0.94</w:t>
              <w:br/>
              <w:br/>
              <w:t>Classification Model:</w:t>
              <w:br/>
              <w:t>• Confusion Matrix: [[120, 5], [4, 115]]</w:t>
              <w:br/>
              <w:t>• Accuracy Score: 96.3%</w:t>
              <w:br/>
              <w:t>• Classification Report: Precision: 0.96, Recall: 0.97, F1-Score: 0.96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2.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Tune the Model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• Hyperparameter Tuning: GridSearchCV / RandomSearchCV (Optimized learning rate, n_estimators, max_depth)</w:t>
              <w:br/>
              <w:t>• Validation Method: 5-Fold Cross Validation (K-Fold CV)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