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40"/>
        </w:rPr>
        <w:t>Functional Software Design (FSD) Specification</w:t>
      </w:r>
    </w:p>
    <w:p>
      <w:pPr>
        <w:jc w:val="center"/>
      </w:pPr>
      <w:r>
        <w:rPr>
          <w:rFonts w:ascii="Arial" w:hAnsi="Arial"/>
          <w:i/>
          <w:color w:val="646464"/>
          <w:sz w:val="28"/>
        </w:rPr>
        <w:t>Implement Client Script &amp; UI Policy (Incident)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Date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30 September 2026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Team Leader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Yohini S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Team Members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V. Narasimman, Tk Abdul raheem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Project Name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Implement Client Script &amp; UI Policy (Incident)</w:t>
            </w:r>
          </w:p>
        </w:tc>
      </w:tr>
    </w:tbl>
    <w:p>
      <w:pPr>
        <w:spacing w:after="240"/>
      </w:pPr>
    </w:p>
    <w:p>
      <w:pPr>
        <w:spacing w:before="280" w:after="120"/>
      </w:pPr>
      <w:r>
        <w:rPr>
          <w:rFonts w:ascii="Arial" w:hAnsi="Arial"/>
          <w:b/>
          <w:color w:val="003366"/>
          <w:sz w:val="28"/>
        </w:rPr>
        <w:t>1. System Overview &amp; Scope</w:t>
      </w:r>
    </w:p>
    <w:p>
      <w:pPr>
        <w:spacing w:after="80"/>
      </w:pPr>
      <w:r>
        <w:rPr>
          <w:rFonts w:ascii="Arial" w:hAnsi="Arial"/>
          <w:sz w:val="20"/>
        </w:rPr>
        <w:t>This Functional Software Design (FSD) document details the architectural specifications, client-side logic, and dynamic user interface policies for the Incident Management System. The objective is to ensure end-to-end data validation, automate field updates, and implement policy-driven UI behaviors across the incident life cycle.</w:t>
      </w:r>
    </w:p>
    <w:p>
      <w:pPr>
        <w:pStyle w:val="ListBullet"/>
        <w:spacing w:after="60"/>
      </w:pPr>
      <w:r>
        <w:rPr>
          <w:rFonts w:ascii="Arial" w:hAnsi="Arial"/>
          <w:b/>
          <w:sz w:val="20"/>
        </w:rPr>
        <w:t xml:space="preserve">Core Scope: </w:t>
      </w:r>
      <w:r>
        <w:rPr>
          <w:rFonts w:ascii="Arial" w:hAnsi="Arial"/>
          <w:sz w:val="20"/>
        </w:rPr>
        <w:t>Automated validation of user contact details (Email, Phone) via Client Scripts.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Dynamic form behavior enforcement using UI Policies (Mandatory, Read-Only, and Visible states).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Real-time auto-population of Caller properties on field change.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Role-Based Security &amp; Access Controls for Support Agents and System Administrators.</w:t>
      </w:r>
    </w:p>
    <w:p>
      <w:pPr>
        <w:spacing w:before="280" w:after="120"/>
      </w:pPr>
      <w:r>
        <w:rPr>
          <w:rFonts w:ascii="Arial" w:hAnsi="Arial"/>
          <w:b/>
          <w:color w:val="003366"/>
          <w:sz w:val="28"/>
        </w:rPr>
        <w:t>2. Functional Requirements</w:t>
      </w:r>
    </w:p>
    <w:p>
      <w:pPr>
        <w:pStyle w:val="ListBullet"/>
        <w:spacing w:after="60"/>
      </w:pPr>
      <w:r>
        <w:rPr>
          <w:rFonts w:ascii="Arial" w:hAnsi="Arial"/>
          <w:b/>
          <w:sz w:val="20"/>
        </w:rPr>
        <w:t xml:space="preserve">FR-01 (Format Validation): </w:t>
      </w:r>
      <w:r>
        <w:rPr>
          <w:rFonts w:ascii="Arial" w:hAnsi="Arial"/>
          <w:sz w:val="20"/>
        </w:rPr>
        <w:t>System must validate Email and Phone number formats on input before form submission (onSubmit).</w:t>
      </w:r>
    </w:p>
    <w:p>
      <w:pPr>
        <w:pStyle w:val="ListBullet"/>
        <w:spacing w:after="60"/>
      </w:pPr>
      <w:r>
        <w:rPr>
          <w:rFonts w:ascii="Arial" w:hAnsi="Arial"/>
          <w:b/>
          <w:sz w:val="20"/>
        </w:rPr>
        <w:t xml:space="preserve">FR-02 (Auto-Population): </w:t>
      </w:r>
      <w:r>
        <w:rPr>
          <w:rFonts w:ascii="Arial" w:hAnsi="Arial"/>
          <w:sz w:val="20"/>
        </w:rPr>
        <w:t>When a 'Caller' is selected, automatically retrieve and fill Email, Department, and Contact Number (onChange).</w:t>
      </w:r>
    </w:p>
    <w:p>
      <w:pPr>
        <w:pStyle w:val="ListBullet"/>
        <w:spacing w:after="60"/>
      </w:pPr>
      <w:r>
        <w:rPr>
          <w:rFonts w:ascii="Arial" w:hAnsi="Arial"/>
          <w:b/>
          <w:sz w:val="20"/>
        </w:rPr>
        <w:t xml:space="preserve">FR-03 (Resolution Enforcement): </w:t>
      </w:r>
      <w:r>
        <w:rPr>
          <w:rFonts w:ascii="Arial" w:hAnsi="Arial"/>
          <w:sz w:val="20"/>
        </w:rPr>
        <w:t>If Incident 'State' changes to 'Resolved', make 'Resolution Notes' and 'Resolution Code' mandatory and visible.</w:t>
      </w:r>
    </w:p>
    <w:p>
      <w:pPr>
        <w:pStyle w:val="ListBullet"/>
        <w:spacing w:after="60"/>
      </w:pPr>
      <w:r>
        <w:rPr>
          <w:rFonts w:ascii="Arial" w:hAnsi="Arial"/>
          <w:b/>
          <w:sz w:val="20"/>
        </w:rPr>
        <w:t xml:space="preserve">FR-04 (Read-Only Lock): </w:t>
      </w:r>
      <w:r>
        <w:rPr>
          <w:rFonts w:ascii="Arial" w:hAnsi="Arial"/>
          <w:sz w:val="20"/>
        </w:rPr>
        <w:t>Once Incident 'State' is set to 'Resolved' or 'Closed', lock all primary fields into Read-Only mode.</w:t>
      </w:r>
    </w:p>
    <w:p>
      <w:pPr>
        <w:pStyle w:val="ListBullet"/>
        <w:spacing w:after="60"/>
      </w:pPr>
      <w:r>
        <w:rPr>
          <w:rFonts w:ascii="Arial" w:hAnsi="Arial"/>
          <w:b/>
          <w:sz w:val="20"/>
        </w:rPr>
        <w:t xml:space="preserve">FR-05 (P1 Escalation Rules): </w:t>
      </w:r>
      <w:r>
        <w:rPr>
          <w:rFonts w:ascii="Arial" w:hAnsi="Arial"/>
          <w:sz w:val="20"/>
        </w:rPr>
        <w:t>For Priority 1 (P1 - Critical) incidents, enforce 'Work Notes' as mandatory.</w:t>
      </w:r>
    </w:p>
    <w:p>
      <w:pPr>
        <w:spacing w:before="280" w:after="120"/>
      </w:pPr>
      <w:r>
        <w:rPr>
          <w:rFonts w:ascii="Arial" w:hAnsi="Arial"/>
          <w:b/>
          <w:color w:val="003366"/>
          <w:sz w:val="28"/>
        </w:rPr>
        <w:t>3. Client Script Specifications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</w:rPr>
              <w:t>Script ID</w:t>
            </w:r>
          </w:p>
        </w:tc>
        <w:tc>
          <w:tcPr>
            <w:tcW w:type="dxa" w:w="2340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</w:rPr>
              <w:t>Type</w:t>
            </w:r>
          </w:p>
        </w:tc>
        <w:tc>
          <w:tcPr>
            <w:tcW w:type="dxa" w:w="2340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</w:rPr>
              <w:t>Trigger / Field</w:t>
            </w:r>
          </w:p>
        </w:tc>
        <w:tc>
          <w:tcPr>
            <w:tcW w:type="dxa" w:w="2340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</w:rPr>
              <w:t>Description &amp; Logic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CS-001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onChange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Caller (caller_id)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Fetches user details via g_form and populates email and phone fields dynamically.</w:t>
            </w:r>
          </w:p>
        </w:tc>
      </w:tr>
      <w:tr>
        <w:tc>
          <w:tcPr>
            <w:tcW w:type="dxa" w:w="2340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CS-002</w:t>
            </w:r>
          </w:p>
        </w:tc>
        <w:tc>
          <w:tcPr>
            <w:tcW w:type="dxa" w:w="2340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onSubmit</w:t>
            </w:r>
          </w:p>
        </w:tc>
        <w:tc>
          <w:tcPr>
            <w:tcW w:type="dxa" w:w="2340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Form Submission</w:t>
            </w:r>
          </w:p>
        </w:tc>
        <w:tc>
          <w:tcPr>
            <w:tcW w:type="dxa" w:w="2340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Validates email regex and phone number format. Prevents submission if invalid.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CS-003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onLoad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Form Loading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Highlights Priority 1 tickets with VIP indicator and checks user session roles.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rFonts w:ascii="Arial" w:hAnsi="Arial"/>
          <w:b/>
          <w:color w:val="003366"/>
          <w:sz w:val="28"/>
        </w:rPr>
        <w:t>4. UI Policy Specifications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</w:rPr>
              <w:t>Policy ID</w:t>
            </w:r>
          </w:p>
        </w:tc>
        <w:tc>
          <w:tcPr>
            <w:tcW w:type="dxa" w:w="2340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</w:rPr>
              <w:t>Condition</w:t>
            </w:r>
          </w:p>
        </w:tc>
        <w:tc>
          <w:tcPr>
            <w:tcW w:type="dxa" w:w="2340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</w:rPr>
              <w:t>Target Field</w:t>
            </w:r>
          </w:p>
        </w:tc>
        <w:tc>
          <w:tcPr>
            <w:tcW w:type="dxa" w:w="2340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</w:rPr>
              <w:t>Action / State Applied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UIP-001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State = Resolved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Resolution Notes &amp; Code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Visible = True, Mandatory = True</w:t>
            </w:r>
          </w:p>
        </w:tc>
      </w:tr>
      <w:tr>
        <w:tc>
          <w:tcPr>
            <w:tcW w:type="dxa" w:w="2340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UIP-002</w:t>
            </w:r>
          </w:p>
        </w:tc>
        <w:tc>
          <w:tcPr>
            <w:tcW w:type="dxa" w:w="2340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State IN (Resolved, Closed)</w:t>
            </w:r>
          </w:p>
        </w:tc>
        <w:tc>
          <w:tcPr>
            <w:tcW w:type="dxa" w:w="2340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Short Description, Category, Priority</w:t>
            </w:r>
          </w:p>
        </w:tc>
        <w:tc>
          <w:tcPr>
            <w:tcW w:type="dxa" w:w="2340"/>
            <w:shd w:val="clear" w:color="auto" w:fill="F9FAFB"/>
          </w:tcPr>
          <w:p>
            <w:r>
              <w:rPr>
                <w:rFonts w:ascii="Arial" w:hAnsi="Arial"/>
                <w:sz w:val="17"/>
              </w:rPr>
              <w:t>Read-Only = True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UIP-003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Priority = 1 - Critical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Work Notes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Arial" w:hAnsi="Arial"/>
                <w:sz w:val="17"/>
              </w:rPr>
              <w:t>Mandatory = True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rFonts w:ascii="Arial" w:hAnsi="Arial"/>
          <w:b/>
          <w:color w:val="003366"/>
          <w:sz w:val="28"/>
        </w:rPr>
        <w:t>5. Non-Functional Requirements &amp; Security</w:t>
      </w:r>
    </w:p>
    <w:p>
      <w:pPr>
        <w:pStyle w:val="ListBullet"/>
        <w:spacing w:after="60"/>
      </w:pPr>
      <w:r>
        <w:rPr>
          <w:rFonts w:ascii="Arial" w:hAnsi="Arial"/>
          <w:b/>
          <w:sz w:val="20"/>
        </w:rPr>
        <w:t xml:space="preserve">Performance: </w:t>
      </w:r>
      <w:r>
        <w:rPr>
          <w:rFonts w:ascii="Arial" w:hAnsi="Arial"/>
          <w:sz w:val="20"/>
        </w:rPr>
        <w:t>Client Script execution latency must remain under 150ms on standard desktop browsers.</w:t>
      </w:r>
    </w:p>
    <w:p>
      <w:pPr>
        <w:pStyle w:val="ListBullet"/>
        <w:spacing w:after="60"/>
      </w:pPr>
      <w:r>
        <w:rPr>
          <w:rFonts w:ascii="Arial" w:hAnsi="Arial"/>
          <w:b/>
          <w:sz w:val="20"/>
        </w:rPr>
        <w:t xml:space="preserve">Security: </w:t>
      </w:r>
      <w:r>
        <w:rPr>
          <w:rFonts w:ascii="Arial" w:hAnsi="Arial"/>
          <w:sz w:val="20"/>
        </w:rPr>
        <w:t>Role-Based Access Control (RBAC) ensuring only authorized Support Desk members can modify ticket states.</w:t>
      </w:r>
    </w:p>
    <w:p>
      <w:pPr>
        <w:pStyle w:val="ListBullet"/>
        <w:spacing w:after="60"/>
      </w:pPr>
      <w:r>
        <w:rPr>
          <w:rFonts w:ascii="Arial" w:hAnsi="Arial"/>
          <w:b/>
          <w:sz w:val="20"/>
        </w:rPr>
        <w:t xml:space="preserve">Usability: </w:t>
      </w:r>
      <w:r>
        <w:rPr>
          <w:rFonts w:ascii="Arial" w:hAnsi="Arial"/>
          <w:sz w:val="20"/>
        </w:rPr>
        <w:t>Cross-browser compatibility (Chrome, Firefox, Edge, Safari).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