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Project Design Phase-II</w:t>
        <w:br w:type="textWrapping"/>
        <w:t xml:space="preserve">Solution Requirements (Functional &amp; Non-functional)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6ac36ca1bddb127874d978d1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Following are the functional requirements of the proposed solution.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Client-Side Form Validation (Client 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Validate field format (Email, Phone, Caller) on change</w:t>
              <w:br w:type="textWrapping"/>
              <w:t xml:space="preserve">Prevent form submission if mandatory fields are invalid</w:t>
              <w:br w:type="textWrapping"/>
              <w:t xml:space="preserve">Display real-time error messages dynamically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Dynamic Field Visibility &amp; Behavior (UI Policy)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Dynamically hide/show 'Resolution Notes' based on Incident State</w:t>
              <w:br w:type="textWrapping"/>
              <w:t xml:space="preserve">Set fields as Read-Only once Incident is Resolved/Closed</w:t>
              <w:br w:type="textWrapping"/>
              <w:t xml:space="preserve">Make 'Work Notes' mandatory on Priority 1 incidents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Automated Field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Auto-populate Caller contact details on Caller selection</w:t>
              <w:br w:type="textWrapping"/>
              <w:t xml:space="preserve">Set default Incident State to 'New' on form load</w:t>
              <w:br w:type="textWrapping"/>
              <w:t xml:space="preserve">Auto-calculate Impact &amp; Urgency to determine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Role-Based UI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Restrict modification of critical fields based on user role</w:t>
              <w:br w:type="textWrapping"/>
              <w:t xml:space="preserve">Highlight VIP callers dynamically on the Incident 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Following are the non-functional requirements of the proposed solution.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The incident form must provide clear, intuitive, and immediate visual feedback when validations fail.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 scripts must execute within restricted scope and prevent unauthorized script execution or data manipulation.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UI policies and scripts must reliably execute across all supported modern browsers without crashing form render.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 scripts and UI policies must render within 200ms to ensure no noticeable input lag for support agents.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 logic must operate continuously with 99.9% uptime aligned with ServiceNow platform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Scripts must efficiently handle high volumes of simultaneous incident entries without impacting platform responsiveness.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5UI9XJUoQ5vAXkQ49rDtc+CtEg==">CgMxLjA4AHIhMVRNTVZnakFEUm1xMVF5eHB1amxVUFZPVkQwYVA0WERq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