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003366"/>
          <w:sz w:val="40"/>
          <w:szCs w:val="40"/>
          <w:rtl w:val="0"/>
        </w:rPr>
        <w:t xml:space="preserve">Project Design Phase</w:t>
        <w:br w:type="textWrapping"/>
        <w:t xml:space="preserve">Proposed Solution Template</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0f4f8" w:val="clear"/>
          </w:tcPr>
          <w:p w:rsidR="00000000" w:rsidDel="00000000" w:rsidP="00000000" w:rsidRDefault="00000000" w:rsidRPr="00000000" w14:paraId="00000003">
            <w:pPr>
              <w:rPr/>
            </w:pPr>
            <w:r w:rsidDel="00000000" w:rsidR="00000000" w:rsidRPr="00000000">
              <w:rPr>
                <w:rFonts w:ascii="Arial" w:cs="Arial" w:eastAsia="Arial" w:hAnsi="Arial"/>
                <w:b w:val="1"/>
                <w:bCs w:val="1"/>
                <w:rtl w:val="0"/>
              </w:rPr>
              <w:t xml:space="preserve">Date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Fonts w:ascii="Arial" w:cs="Arial" w:eastAsia="Arial" w:hAnsi="Arial"/>
                <w:rtl w:val="0"/>
              </w:rPr>
              <w:t xml:space="preserve">30 September 2026</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05">
            <w:pPr>
              <w:rPr/>
            </w:pPr>
            <w:r w:rsidDel="00000000" w:rsidR="00000000" w:rsidRPr="00000000">
              <w:rPr>
                <w:rFonts w:ascii="Arial" w:cs="Arial" w:eastAsia="Arial" w:hAnsi="Arial"/>
                <w:b w:val="1"/>
                <w:bCs w:val="1"/>
                <w:rtl w:val="0"/>
              </w:rPr>
              <w:t xml:space="preserve">Team ID</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Arial" w:cs="Arial" w:eastAsia="Arial" w:hAnsi="Arial"/>
                <w:rtl w:val="0"/>
              </w:rPr>
              <w:t xml:space="preserve">6ac36ca1bddb127874d978d1</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07">
            <w:pPr>
              <w:rPr/>
            </w:pPr>
            <w:r w:rsidDel="00000000" w:rsidR="00000000" w:rsidRPr="00000000">
              <w:rPr>
                <w:rFonts w:ascii="Arial" w:cs="Arial" w:eastAsia="Arial" w:hAnsi="Arial"/>
                <w:b w:val="1"/>
                <w:bCs w:val="1"/>
                <w:rtl w:val="0"/>
              </w:rPr>
              <w:t xml:space="preserve">Project Name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Arial" w:cs="Arial" w:eastAsia="Arial" w:hAnsi="Arial"/>
                <w:rtl w:val="0"/>
              </w:rPr>
              <w:t xml:space="preserve">Implement Client Script &amp; UI Policy (Incident)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09">
            <w:pPr>
              <w:rPr/>
            </w:pPr>
            <w:r w:rsidDel="00000000" w:rsidR="00000000" w:rsidRPr="00000000">
              <w:rPr>
                <w:rFonts w:ascii="Arial" w:cs="Arial" w:eastAsia="Arial" w:hAnsi="Arial"/>
                <w:b w:val="1"/>
                <w:bCs w:val="1"/>
                <w:rtl w:val="0"/>
              </w:rPr>
              <w:t xml:space="preserve">Maximum Marks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Arial" w:cs="Arial" w:eastAsia="Arial" w:hAnsi="Arial"/>
                <w:rtl w:val="0"/>
              </w:rPr>
              <w:t xml:space="preserve">2 Marks</w:t>
            </w:r>
            <w:r w:rsidDel="00000000" w:rsidR="00000000" w:rsidRPr="00000000">
              <w:rPr>
                <w:rtl w:val="0"/>
              </w:rPr>
            </w:r>
          </w:p>
        </w:tc>
      </w:tr>
    </w:tbl>
    <w:p w:rsidR="00000000" w:rsidDel="00000000" w:rsidP="00000000" w:rsidRDefault="00000000" w:rsidRPr="00000000" w14:paraId="0000000B">
      <w:pPr>
        <w:spacing w:after="36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b w:val="1"/>
          <w:bCs w:val="1"/>
          <w:color w:val="003366"/>
          <w:sz w:val="28"/>
          <w:szCs w:val="28"/>
          <w:rtl w:val="0"/>
        </w:rPr>
        <w:t xml:space="preserve">Proposed Solution Template:</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rtl w:val="0"/>
        </w:rPr>
        <w:t xml:space="preserve">Project team shall fill the following information in the proposed solution template.</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03366" w:val="cle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9"/>
                <w:szCs w:val="19"/>
                <w:rtl w:val="0"/>
              </w:rPr>
              <w:t xml:space="preserve">S.No.</w:t>
            </w:r>
            <w:r w:rsidDel="00000000" w:rsidR="00000000" w:rsidRPr="00000000">
              <w:rPr>
                <w:rtl w:val="0"/>
              </w:rPr>
            </w:r>
          </w:p>
        </w:tc>
        <w:tc>
          <w:tcPr>
            <w:shd w:fill="003366"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9"/>
                <w:szCs w:val="19"/>
                <w:rtl w:val="0"/>
              </w:rPr>
              <w:t xml:space="preserve">Parameter</w:t>
            </w:r>
            <w:r w:rsidDel="00000000" w:rsidR="00000000" w:rsidRPr="00000000">
              <w:rPr>
                <w:rtl w:val="0"/>
              </w:rPr>
            </w:r>
          </w:p>
        </w:tc>
        <w:tc>
          <w:tcPr>
            <w:shd w:fill="003366" w:val="cle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2">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ffffff" w:val="clear"/>
          </w:tcPr>
          <w:p w:rsidR="00000000" w:rsidDel="00000000" w:rsidP="00000000" w:rsidRDefault="00000000" w:rsidRPr="00000000" w14:paraId="00000013">
            <w:pPr>
              <w:rPr/>
            </w:pPr>
            <w:r w:rsidDel="00000000" w:rsidR="00000000" w:rsidRPr="00000000">
              <w:rPr>
                <w:rFonts w:ascii="Arial" w:cs="Arial" w:eastAsia="Arial" w:hAnsi="Arial"/>
                <w:b w:val="1"/>
                <w:bCs w:val="1"/>
                <w:sz w:val="19"/>
                <w:szCs w:val="19"/>
                <w:rtl w:val="0"/>
              </w:rPr>
              <w:t xml:space="preserve">Problem Statement (Problem to be solved)</w:t>
            </w:r>
            <w:r w:rsidDel="00000000" w:rsidR="00000000" w:rsidRPr="00000000">
              <w:rPr>
                <w:rtl w:val="0"/>
              </w:rPr>
            </w:r>
          </w:p>
        </w:tc>
        <w:tc>
          <w:tcPr>
            <w:shd w:fill="ffffff" w:val="clear"/>
          </w:tcPr>
          <w:p w:rsidR="00000000" w:rsidDel="00000000" w:rsidP="00000000" w:rsidRDefault="00000000" w:rsidRPr="00000000" w14:paraId="00000014">
            <w:pPr>
              <w:rPr/>
            </w:pPr>
            <w:r w:rsidDel="00000000" w:rsidR="00000000" w:rsidRPr="00000000">
              <w:rPr>
                <w:rFonts w:ascii="Arial" w:cs="Arial" w:eastAsia="Arial" w:hAnsi="Arial"/>
                <w:sz w:val="19"/>
                <w:szCs w:val="19"/>
                <w:rtl w:val="0"/>
              </w:rPr>
              <w:t xml:space="preserve">IT Support agents and end-users face high data input error rates, slow Incident logging times, and incomplete resolution records due to static forms that allow submitting invalid phone numbers, emails, or leaving mandatory closure notes empty.</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15">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9fafb" w:val="clear"/>
          </w:tcPr>
          <w:p w:rsidR="00000000" w:rsidDel="00000000" w:rsidP="00000000" w:rsidRDefault="00000000" w:rsidRPr="00000000" w14:paraId="00000016">
            <w:pPr>
              <w:rPr/>
            </w:pPr>
            <w:r w:rsidDel="00000000" w:rsidR="00000000" w:rsidRPr="00000000">
              <w:rPr>
                <w:rFonts w:ascii="Arial" w:cs="Arial" w:eastAsia="Arial" w:hAnsi="Arial"/>
                <w:b w:val="1"/>
                <w:bCs w:val="1"/>
                <w:sz w:val="19"/>
                <w:szCs w:val="19"/>
                <w:rtl w:val="0"/>
              </w:rPr>
              <w:t xml:space="preserve">Idea / Solution description</w:t>
            </w:r>
            <w:r w:rsidDel="00000000" w:rsidR="00000000" w:rsidRPr="00000000">
              <w:rPr>
                <w:rtl w:val="0"/>
              </w:rPr>
            </w:r>
          </w:p>
        </w:tc>
        <w:tc>
          <w:tcPr>
            <w:shd w:fill="f9fafb" w:val="clear"/>
          </w:tcPr>
          <w:p w:rsidR="00000000" w:rsidDel="00000000" w:rsidP="00000000" w:rsidRDefault="00000000" w:rsidRPr="00000000" w14:paraId="00000017">
            <w:pPr>
              <w:rPr/>
            </w:pPr>
            <w:r w:rsidDel="00000000" w:rsidR="00000000" w:rsidRPr="00000000">
              <w:rPr>
                <w:rFonts w:ascii="Arial" w:cs="Arial" w:eastAsia="Arial" w:hAnsi="Arial"/>
                <w:sz w:val="19"/>
                <w:szCs w:val="19"/>
                <w:rtl w:val="0"/>
              </w:rPr>
              <w:t xml:space="preserve">Implement real-time ServiceNow Client Scripts (onLoad, onChange, onSubmit) to perform instant input validation, and dynamic UI Policies to conditionally control field visibility, read-only state, and mandatory requirements (e.g., enforcing work notes on P1 incidents and mandatory resolution notes on closure).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8">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ffffff" w:val="clear"/>
          </w:tcPr>
          <w:p w:rsidR="00000000" w:rsidDel="00000000" w:rsidP="00000000" w:rsidRDefault="00000000" w:rsidRPr="00000000" w14:paraId="00000019">
            <w:pPr>
              <w:rPr/>
            </w:pPr>
            <w:r w:rsidDel="00000000" w:rsidR="00000000" w:rsidRPr="00000000">
              <w:rPr>
                <w:rFonts w:ascii="Arial" w:cs="Arial" w:eastAsia="Arial" w:hAnsi="Arial"/>
                <w:b w:val="1"/>
                <w:bCs w:val="1"/>
                <w:sz w:val="19"/>
                <w:szCs w:val="19"/>
                <w:rtl w:val="0"/>
              </w:rPr>
              <w:t xml:space="preserve">Novelty / Uniqueness</w:t>
            </w:r>
            <w:r w:rsidDel="00000000" w:rsidR="00000000" w:rsidRPr="00000000">
              <w:rPr>
                <w:rtl w:val="0"/>
              </w:rPr>
            </w:r>
          </w:p>
        </w:tc>
        <w:tc>
          <w:tcPr>
            <w:shd w:fill="ffffff" w:val="clear"/>
          </w:tcPr>
          <w:p w:rsidR="00000000" w:rsidDel="00000000" w:rsidP="00000000" w:rsidRDefault="00000000" w:rsidRPr="00000000" w14:paraId="0000001A">
            <w:pPr>
              <w:rPr/>
            </w:pPr>
            <w:r w:rsidDel="00000000" w:rsidR="00000000" w:rsidRPr="00000000">
              <w:rPr>
                <w:rFonts w:ascii="Arial" w:cs="Arial" w:eastAsia="Arial" w:hAnsi="Arial"/>
                <w:sz w:val="19"/>
                <w:szCs w:val="19"/>
                <w:rtl w:val="0"/>
              </w:rPr>
              <w:t xml:space="preserve">Zero-code UI Policy combined with lightweight, high-speed Client Scripts provides immediate visual feedback at the browser layer without demanding heavy server-side roundtrips, reducing form interaction latency to under 200ms.</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1B">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9fafb" w:val="clear"/>
          </w:tcPr>
          <w:p w:rsidR="00000000" w:rsidDel="00000000" w:rsidP="00000000" w:rsidRDefault="00000000" w:rsidRPr="00000000" w14:paraId="0000001C">
            <w:pPr>
              <w:rPr/>
            </w:pPr>
            <w:r w:rsidDel="00000000" w:rsidR="00000000" w:rsidRPr="00000000">
              <w:rPr>
                <w:rFonts w:ascii="Arial" w:cs="Arial" w:eastAsia="Arial" w:hAnsi="Arial"/>
                <w:b w:val="1"/>
                <w:bCs w:val="1"/>
                <w:sz w:val="19"/>
                <w:szCs w:val="19"/>
                <w:rtl w:val="0"/>
              </w:rPr>
              <w:t xml:space="preserve">Social Impact / Customer Satisfaction</w:t>
            </w:r>
            <w:r w:rsidDel="00000000" w:rsidR="00000000" w:rsidRPr="00000000">
              <w:rPr>
                <w:rtl w:val="0"/>
              </w:rPr>
            </w:r>
          </w:p>
        </w:tc>
        <w:tc>
          <w:tcPr>
            <w:shd w:fill="f9fafb" w:val="clear"/>
          </w:tcPr>
          <w:p w:rsidR="00000000" w:rsidDel="00000000" w:rsidP="00000000" w:rsidRDefault="00000000" w:rsidRPr="00000000" w14:paraId="0000001D">
            <w:pPr>
              <w:rPr/>
            </w:pPr>
            <w:r w:rsidDel="00000000" w:rsidR="00000000" w:rsidRPr="00000000">
              <w:rPr>
                <w:rFonts w:ascii="Arial" w:cs="Arial" w:eastAsia="Arial" w:hAnsi="Arial"/>
                <w:sz w:val="19"/>
                <w:szCs w:val="19"/>
                <w:rtl w:val="0"/>
              </w:rPr>
              <w:t xml:space="preserve">Dramatically improves IT Service Desk operational efficiency, accelerates Incident Mean Time to Resolve (MTTR), eliminates agent frustration caused by repetitive submission errors, and boosts overall end-user satisfaction.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E">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shd w:fill="ffffff" w:val="clear"/>
          </w:tcPr>
          <w:p w:rsidR="00000000" w:rsidDel="00000000" w:rsidP="00000000" w:rsidRDefault="00000000" w:rsidRPr="00000000" w14:paraId="0000001F">
            <w:pPr>
              <w:rPr/>
            </w:pPr>
            <w:r w:rsidDel="00000000" w:rsidR="00000000" w:rsidRPr="00000000">
              <w:rPr>
                <w:rFonts w:ascii="Arial" w:cs="Arial" w:eastAsia="Arial" w:hAnsi="Arial"/>
                <w:b w:val="1"/>
                <w:bCs w:val="1"/>
                <w:sz w:val="19"/>
                <w:szCs w:val="19"/>
                <w:rtl w:val="0"/>
              </w:rPr>
              <w:t xml:space="preserve">Business Model (Revenue Model)</w:t>
            </w:r>
            <w:r w:rsidDel="00000000" w:rsidR="00000000" w:rsidRPr="00000000">
              <w:rPr>
                <w:rtl w:val="0"/>
              </w:rPr>
            </w:r>
          </w:p>
        </w:tc>
        <w:tc>
          <w:tcPr>
            <w:shd w:fill="ffffff" w:val="clear"/>
          </w:tcPr>
          <w:p w:rsidR="00000000" w:rsidDel="00000000" w:rsidP="00000000" w:rsidRDefault="00000000" w:rsidRPr="00000000" w14:paraId="00000020">
            <w:pPr>
              <w:rPr/>
            </w:pPr>
            <w:r w:rsidDel="00000000" w:rsidR="00000000" w:rsidRPr="00000000">
              <w:rPr>
                <w:rFonts w:ascii="Arial" w:cs="Arial" w:eastAsia="Arial" w:hAnsi="Arial"/>
                <w:sz w:val="19"/>
                <w:szCs w:val="19"/>
                <w:rtl w:val="0"/>
              </w:rPr>
              <w:t xml:space="preserve">Internal Enterprise IT Cost Optimization model: Reduces ticket rework costs, decreases support agent overhead by streamlining workflows, and ensures strict compliance with SLA metrics and governance standards.</w:t>
            </w:r>
            <w:r w:rsidDel="00000000" w:rsidR="00000000" w:rsidRPr="00000000">
              <w:rPr>
                <w:rtl w:val="0"/>
              </w:rPr>
            </w:r>
          </w:p>
        </w:tc>
      </w:tr>
      <w:tr>
        <w:trPr>
          <w:cantSplit w:val="0"/>
          <w:tblHeader w:val="0"/>
        </w:trPr>
        <w:tc>
          <w:tcPr>
            <w:shd w:fill="f9fafb" w:val="clear"/>
          </w:tcPr>
          <w:p w:rsidR="00000000" w:rsidDel="00000000" w:rsidP="00000000" w:rsidRDefault="00000000" w:rsidRPr="00000000" w14:paraId="00000021">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9fafb" w:val="clear"/>
          </w:tcPr>
          <w:p w:rsidR="00000000" w:rsidDel="00000000" w:rsidP="00000000" w:rsidRDefault="00000000" w:rsidRPr="00000000" w14:paraId="00000022">
            <w:pPr>
              <w:rPr/>
            </w:pPr>
            <w:r w:rsidDel="00000000" w:rsidR="00000000" w:rsidRPr="00000000">
              <w:rPr>
                <w:rFonts w:ascii="Arial" w:cs="Arial" w:eastAsia="Arial" w:hAnsi="Arial"/>
                <w:b w:val="1"/>
                <w:bCs w:val="1"/>
                <w:sz w:val="19"/>
                <w:szCs w:val="19"/>
                <w:rtl w:val="0"/>
              </w:rPr>
              <w:t xml:space="preserve">Scalability of the Solution</w:t>
            </w:r>
            <w:r w:rsidDel="00000000" w:rsidR="00000000" w:rsidRPr="00000000">
              <w:rPr>
                <w:rtl w:val="0"/>
              </w:rPr>
            </w:r>
          </w:p>
        </w:tc>
        <w:tc>
          <w:tcPr>
            <w:shd w:fill="f9fafb" w:val="clear"/>
          </w:tcPr>
          <w:p w:rsidR="00000000" w:rsidDel="00000000" w:rsidP="00000000" w:rsidRDefault="00000000" w:rsidRPr="00000000" w14:paraId="00000023">
            <w:pPr>
              <w:rPr/>
            </w:pPr>
            <w:r w:rsidDel="00000000" w:rsidR="00000000" w:rsidRPr="00000000">
              <w:rPr>
                <w:rFonts w:ascii="Arial" w:cs="Arial" w:eastAsia="Arial" w:hAnsi="Arial"/>
                <w:sz w:val="19"/>
                <w:szCs w:val="19"/>
                <w:rtl w:val="0"/>
              </w:rPr>
              <w:t xml:space="preserve">Highly scalable across global ServiceNow enterprise instances. The reusable client scripting modular templates and UI policy configurations can be rapidly extended to Problem, Change, and Service Request Management modules.</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ciFjwZGaSuB2ly4CUtQdnI90lQ==">CgMxLjA4AHIhMWhWSzd2aFhkaW1FOWcwV3JmZWxDakVhdzhvWHkzWVhT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