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B45309"/>
          <w:sz w:val="22"/>
          <w:szCs w:val="22"/>
        </w:rPr>
        <w:t xml:space="preserve">PRIVATE — FOR ARYAN ONLY</w:t>
      </w:r>
    </w:p>
    <w:p>
      <w:pPr>
        <w:spacing w:after="100"/>
        <w:jc w:val="center"/>
      </w:pPr>
      <w:r>
        <w:rPr>
          <w:b/>
          <w:bCs/>
          <w:sz w:val="56"/>
          <w:szCs w:val="56"/>
        </w:rPr>
        <w:t xml:space="preserve">Agentic FacilityOps AI Platform</w:t>
      </w:r>
    </w:p>
    <w:p>
      <w:pPr>
        <w:spacing w:after="60"/>
        <w:jc w:val="center"/>
      </w:pPr>
      <w:r>
        <w:rPr>
          <w:color w:val="444444"/>
          <w:sz w:val="28"/>
          <w:szCs w:val="28"/>
        </w:rPr>
        <w:t xml:space="preserve">Developer Notes, Integration Guide &amp; Viva Preparation</w:t>
      </w:r>
    </w:p>
    <w:p>
      <w:pPr>
        <w:spacing w:after="600"/>
        <w:jc w:val="center"/>
      </w:pPr>
      <w:r>
        <w:rPr>
          <w:i/>
          <w:iCs/>
          <w:color w:val="666666"/>
          <w:sz w:val="22"/>
          <w:szCs w:val="22"/>
        </w:rPr>
        <w:t xml:space="preserve">Covering Milestone 1 (Energy Intelligence) and Milestone 2 (Predictive Maintenance)</w:t>
      </w:r>
    </w:p>
    <w:p>
      <w:pPr>
        <w:spacing w:after="400"/>
        <w:jc w:val="center"/>
      </w:pPr>
      <w:r>
        <w:rPr>
          <w:color w:val="555555"/>
          <w:sz w:val="20"/>
          <w:szCs w:val="20"/>
        </w:rPr>
        <w:t xml:space="preserve">This document is written for you, not for submission. It explains the system in full depth, how the two of you (you + AI-assisted development) actually built it, and prepares you to answer any question a professor could reasonably ask — in your own words, from real understanding.</w:t>
      </w:r>
    </w:p>
    <w:p>
      <w:r>
        <w:br w:type="page"/>
      </w:r>
    </w:p>
    <w:p>
      <w:pPr>
        <w:pStyle w:val="Heading1"/>
        <w:spacing w:after="160" w:before="400"/>
      </w:pPr>
      <w:r>
        <w:t xml:space="preserve">1. Project Introduction</w:t>
      </w:r>
    </w:p>
    <w:p>
      <w:pPr>
        <w:pStyle w:val="Heading2"/>
        <w:spacing w:after="120" w:before="280"/>
      </w:pPr>
      <w:r>
        <w:t xml:space="preserve">1.1 What this project is</w:t>
      </w:r>
    </w:p>
    <w:p>
      <w:pPr>
        <w:spacing w:after="140"/>
      </w:pPr>
      <w:r>
        <w:t xml:space="preserve">Agentic FacilityOps AI Platform is a full-stack facility-management application that uses AI agents — not just a chatbot, but software agents with their own tools, analytics, and decision logic — to monitor a commercial building's energy consumption and physical equipment health, and to recommend or even take action on what it finds. It is built as a multi-milestone college team project: each milestone adds one new agent, and every agent follows the same four-step template (init → analyze → recommend → run) so the architecture visibly scales rather than being rebuilt from scratch each time.</w:t>
      </w:r>
    </w:p>
    <w:p>
      <w:pPr>
        <w:spacing w:after="140"/>
      </w:pPr>
      <w:r>
        <w:t xml:space="preserve">Milestone 1 built the Energy Agent (consumption analytics, ML forecasting, rule-based recommendations, and an agentic investigation layer). Milestone 2 built the Maintenance Agent (equipment health scoring, Remaining Useful Life prediction, and its own agentic investigation layer) and — critically — made the two agents actually cooperate through a real cross-agent handoff.</w:t>
      </w:r>
    </w:p>
    <w:p>
      <w:pPr>
        <w:pStyle w:val="Heading2"/>
        <w:spacing w:after="120" w:before="280"/>
      </w:pPr>
      <w:r>
        <w:t xml:space="preserve">1.2 Why this project</w:t>
      </w:r>
    </w:p>
    <w:p>
      <w:pPr>
        <w:spacing w:after="140"/>
      </w:pPr>
      <w:r>
        <w:t xml:space="preserve">Facility operations (HVAC, lighting, pumps, chillers, compressors) is a domain where poor visibility costs real money and causes real equipment failures — buildings waste energy because no one is watching consumption patterns closely enough to catch anomalies, and equipment fails unexpectedly because maintenance is scheduled on a fixed calendar instead of on actual condition. Both are naturally suited to AI: energy patterns are exactly the kind of multi-variable time series ML forecasting is good at, and equipment degradation trajectories are exactly what a regression model can learn to predict. The project was also chosen because it gives room to demonstrate three distinct, honestly-labeled kinds of "AI" in one codebase — deterministic rules, trained ML models, and genuinely agentic LLM tool-use — rather than one chatbot wrapper pretending to be all three.</w:t>
      </w:r>
    </w:p>
    <w:p>
      <w:pPr>
        <w:pStyle w:val="Heading2"/>
        <w:spacing w:after="120" w:before="280"/>
      </w:pPr>
      <w:r>
        <w:t xml:space="preserve">1.3 How it was approached</w:t>
      </w:r>
    </w:p>
    <w:p>
      <w:pPr>
        <w:spacing w:after="140"/>
      </w:pPr>
      <w:r>
        <w:t xml:space="preserve">The project was scoped milestone by milestone against a fixed architecture decision made up front: every future agent (Energy, Maintenance, and later Occupancy/Security/Cost) would share one template so that adding a new domain never means redesigning the system, only writing a new agent that plugs into the same shape. That decision is why Milestone 2 could be built as "prove the architecture generalizes" rather than "build a second, unrelated feature." Development was AI-assisted (see Section 4 for exactly how) but every architectural decision, every dataset choice, and every accuracy number in this project was reviewed, tested, and understood by you before being accepted — that's the difference between "AI helped build this" and "AI built this and I don't know what's inside it," and it's the difference that matters in a viva.</w:t>
      </w:r>
    </w:p>
    <w:p>
      <w:pPr>
        <w:pStyle w:val="Heading2"/>
        <w:spacing w:after="120" w:before="280"/>
      </w:pPr>
      <w:r>
        <w:t xml:space="preserve">1.4 One-paragraph summary you can say out loud</w:t>
      </w:r>
    </w:p>
    <w:p>
      <w:pPr>
        <w:pBdr>
          <w:left w:val="single" w:color="B45309" w:sz="12" w:space="8"/>
        </w:pBdr>
        <w:spacing w:after="180" w:before="60"/>
        <w:ind w:left="200"/>
      </w:pPr>
      <w:r>
        <w:rPr>
          <w:i/>
          <w:iCs/>
          <w:color w:val="555555"/>
        </w:rPr>
        <w:t xml:space="preserve">"This is a multi-agent facility management platform. Each agent — Energy in Milestone 1, Maintenance in Milestone 2 — follows the same analyze/recommend/run pattern, combines rule-based logic with a real trained ML model, and exposes an agentic endpoint where an LLM is given tools and decides for itself what to investigate. The two agents aren't isolated: the Energy Agent can hand a finding off to the Maintenance Agent and a real work order gets created, which is the proof that this is genuinely multi-agent rather than two features bolted together."</w:t>
      </w:r>
    </w:p>
    <w:p>
      <w:pPr>
        <w:pStyle w:val="Heading1"/>
        <w:spacing w:after="160" w:before="400"/>
      </w:pPr>
      <w:r>
        <w:t xml:space="preserve">2. Full Tech Stack — Both Milestones</w:t>
      </w:r>
    </w:p>
    <w:p>
      <w:pPr>
        <w:spacing w:after="140"/>
      </w:pPr>
      <w:r>
        <w:t xml:space="preserve">Nothing here changed between milestones — Milestone 2 reused the exact same stack, which is itself worth mentioning in a viva as evidence the architecture didn't need rework.</w:t>
      </w:r>
    </w:p>
    <w:p>
      <w:pPr>
        <w:pStyle w:val="Heading2"/>
        <w:spacing w:after="120" w:before="280"/>
      </w:pPr>
      <w:r>
        <w:t xml:space="preserve">2.1 Backend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4200"/>
      </w:tblGrid>
      <w:tr>
        <w:tc>
          <w:tcPr>
            <w:tcW w:type="dxa" w:w="1800"/>
            <w:shd w:fill="1E293B" w:color="auto" w:val="clear"/>
            <w:tcMar>
              <w:top w:type="dxa" w:w="80"/>
              <w:left w:type="dxa" w:w="120"/>
              <w:bottom w:type="dxa" w:w="80"/>
              <w:right w:type="dxa" w:w="120"/>
            </w:tcMar>
          </w:tcPr>
          <w:p>
            <w:r>
              <w:rPr>
                <w:b/>
                <w:bCs/>
                <w:color w:val="FFFFFF"/>
                <w:sz w:val="19"/>
                <w:szCs w:val="19"/>
              </w:rPr>
              <w:t xml:space="preserve">Technology</w:t>
            </w:r>
          </w:p>
        </w:tc>
        <w:tc>
          <w:tcPr>
            <w:tcW w:type="dxa" w:w="1000"/>
            <w:shd w:fill="1E293B" w:color="auto" w:val="clear"/>
            <w:tcMar>
              <w:top w:type="dxa" w:w="80"/>
              <w:left w:type="dxa" w:w="120"/>
              <w:bottom w:type="dxa" w:w="80"/>
              <w:right w:type="dxa" w:w="120"/>
            </w:tcMar>
          </w:tcPr>
          <w:p>
            <w:r>
              <w:rPr>
                <w:b/>
                <w:bCs/>
                <w:color w:val="FFFFFF"/>
                <w:sz w:val="19"/>
                <w:szCs w:val="19"/>
              </w:rPr>
              <w:t xml:space="preserve">Version</w:t>
            </w:r>
          </w:p>
        </w:tc>
        <w:tc>
          <w:tcPr>
            <w:tcW w:type="dxa" w:w="2800"/>
            <w:shd w:fill="1E293B" w:color="auto" w:val="clear"/>
            <w:tcMar>
              <w:top w:type="dxa" w:w="80"/>
              <w:left w:type="dxa" w:w="120"/>
              <w:bottom w:type="dxa" w:w="80"/>
              <w:right w:type="dxa" w:w="120"/>
            </w:tcMar>
          </w:tcPr>
          <w:p>
            <w:r>
              <w:rPr>
                <w:b/>
                <w:bCs/>
                <w:color w:val="FFFFFF"/>
                <w:sz w:val="19"/>
                <w:szCs w:val="19"/>
              </w:rPr>
              <w:t xml:space="preserve">Role</w:t>
            </w:r>
          </w:p>
        </w:tc>
        <w:tc>
          <w:tcPr>
            <w:tcW w:type="dxa" w:w="4200"/>
            <w:shd w:fill="1E293B" w:color="auto" w:val="clear"/>
            <w:tcMar>
              <w:top w:type="dxa" w:w="80"/>
              <w:left w:type="dxa" w:w="120"/>
              <w:bottom w:type="dxa" w:w="80"/>
              <w:right w:type="dxa" w:w="120"/>
            </w:tcMar>
          </w:tcPr>
          <w:p>
            <w:r>
              <w:rPr>
                <w:b/>
                <w:bCs/>
                <w:color w:val="FFFFFF"/>
                <w:sz w:val="19"/>
                <w:szCs w:val="19"/>
              </w:rPr>
              <w:t xml:space="preserve">Why this and not an alternative</w:t>
            </w:r>
          </w:p>
        </w:tc>
      </w:tr>
      <w:tr>
        <w:tc>
          <w:tcPr>
            <w:tcW w:type="dxa" w:w="1800"/>
            <w:tcMar>
              <w:top w:type="dxa" w:w="80"/>
              <w:left w:type="dxa" w:w="120"/>
              <w:bottom w:type="dxa" w:w="80"/>
              <w:right w:type="dxa" w:w="120"/>
            </w:tcMar>
          </w:tcPr>
          <w:p>
            <w:r>
              <w:rPr>
                <w:b w:val="false"/>
                <w:bCs w:val="false"/>
                <w:color w:val="000000"/>
                <w:sz w:val="19"/>
                <w:szCs w:val="19"/>
              </w:rPr>
              <w:t xml:space="preserve">Python</w:t>
            </w:r>
          </w:p>
        </w:tc>
        <w:tc>
          <w:tcPr>
            <w:tcW w:type="dxa" w:w="1000"/>
            <w:tcMar>
              <w:top w:type="dxa" w:w="80"/>
              <w:left w:type="dxa" w:w="120"/>
              <w:bottom w:type="dxa" w:w="80"/>
              <w:right w:type="dxa" w:w="120"/>
            </w:tcMar>
          </w:tcPr>
          <w:p>
            <w:r>
              <w:rPr>
                <w:b w:val="false"/>
                <w:bCs w:val="false"/>
                <w:color w:val="000000"/>
                <w:sz w:val="19"/>
                <w:szCs w:val="19"/>
              </w:rPr>
              <w:t xml:space="preserve">3.12</w:t>
            </w:r>
          </w:p>
        </w:tc>
        <w:tc>
          <w:tcPr>
            <w:tcW w:type="dxa" w:w="2800"/>
            <w:tcMar>
              <w:top w:type="dxa" w:w="80"/>
              <w:left w:type="dxa" w:w="120"/>
              <w:bottom w:type="dxa" w:w="80"/>
              <w:right w:type="dxa" w:w="120"/>
            </w:tcMar>
          </w:tcPr>
          <w:p>
            <w:r>
              <w:rPr>
                <w:b w:val="false"/>
                <w:bCs w:val="false"/>
                <w:color w:val="000000"/>
                <w:sz w:val="19"/>
                <w:szCs w:val="19"/>
              </w:rPr>
              <w:t xml:space="preserve">Runtime for the whole backend</w:t>
            </w:r>
          </w:p>
        </w:tc>
        <w:tc>
          <w:tcPr>
            <w:tcW w:type="dxa" w:w="4200"/>
            <w:tcMar>
              <w:top w:type="dxa" w:w="80"/>
              <w:left w:type="dxa" w:w="120"/>
              <w:bottom w:type="dxa" w:w="80"/>
              <w:right w:type="dxa" w:w="120"/>
            </w:tcMar>
          </w:tcPr>
          <w:p>
            <w:r>
              <w:rPr>
                <w:b w:val="false"/>
                <w:bCs w:val="false"/>
                <w:color w:val="000000"/>
                <w:sz w:val="19"/>
                <w:szCs w:val="19"/>
              </w:rPr>
              <w:t xml:space="preserve">One language for both the web API and the ML pipeline — no separate microservice/RPC boundary between "the app" and "the model"</w:t>
            </w:r>
          </w:p>
        </w:tc>
      </w:tr>
      <w:tr>
        <w:tc>
          <w:tcPr>
            <w:tcW w:type="dxa" w:w="1800"/>
            <w:tcMar>
              <w:top w:type="dxa" w:w="80"/>
              <w:left w:type="dxa" w:w="120"/>
              <w:bottom w:type="dxa" w:w="80"/>
              <w:right w:type="dxa" w:w="120"/>
            </w:tcMar>
          </w:tcPr>
          <w:p>
            <w:r>
              <w:rPr>
                <w:b w:val="false"/>
                <w:bCs w:val="false"/>
                <w:color w:val="000000"/>
                <w:sz w:val="19"/>
                <w:szCs w:val="19"/>
              </w:rPr>
              <w:t xml:space="preserve">FastAPI</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HTTP framework for every /api/energy/* and /maintenance/* route</w:t>
            </w:r>
          </w:p>
        </w:tc>
        <w:tc>
          <w:tcPr>
            <w:tcW w:type="dxa" w:w="4200"/>
            <w:tcMar>
              <w:top w:type="dxa" w:w="80"/>
              <w:left w:type="dxa" w:w="120"/>
              <w:bottom w:type="dxa" w:w="80"/>
              <w:right w:type="dxa" w:w="120"/>
            </w:tcMar>
          </w:tcPr>
          <w:p>
            <w:r>
              <w:rPr>
                <w:b w:val="false"/>
                <w:bCs w:val="false"/>
                <w:color w:val="000000"/>
                <w:sz w:val="19"/>
                <w:szCs w:val="19"/>
              </w:rPr>
              <w:t xml:space="preserve">Async by default, automatic OpenAPI/Swagger docs at /docs for free, and Pydantic-based request validation without writing it by hand</w:t>
            </w:r>
          </w:p>
        </w:tc>
      </w:tr>
      <w:tr>
        <w:tc>
          <w:tcPr>
            <w:tcW w:type="dxa" w:w="1800"/>
            <w:tcMar>
              <w:top w:type="dxa" w:w="80"/>
              <w:left w:type="dxa" w:w="120"/>
              <w:bottom w:type="dxa" w:w="80"/>
              <w:right w:type="dxa" w:w="120"/>
            </w:tcMar>
          </w:tcPr>
          <w:p>
            <w:r>
              <w:rPr>
                <w:b w:val="false"/>
                <w:bCs w:val="false"/>
                <w:color w:val="000000"/>
                <w:sz w:val="19"/>
                <w:szCs w:val="19"/>
              </w:rPr>
              <w:t xml:space="preserve">Pydantic</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Request/response schemas</w:t>
            </w:r>
          </w:p>
        </w:tc>
        <w:tc>
          <w:tcPr>
            <w:tcW w:type="dxa" w:w="4200"/>
            <w:tcMar>
              <w:top w:type="dxa" w:w="80"/>
              <w:left w:type="dxa" w:w="120"/>
              <w:bottom w:type="dxa" w:w="80"/>
              <w:right w:type="dxa" w:w="120"/>
            </w:tcMar>
          </w:tcPr>
          <w:p>
            <w:r>
              <w:rPr>
                <w:b w:val="false"/>
                <w:bCs w:val="false"/>
                <w:color w:val="000000"/>
                <w:sz w:val="19"/>
                <w:szCs w:val="19"/>
              </w:rPr>
              <w:t xml:space="preserve">Same validation library FastAPI is built on, so it's zero extra integration cost</w:t>
            </w:r>
          </w:p>
        </w:tc>
      </w:tr>
      <w:tr>
        <w:tc>
          <w:tcPr>
            <w:tcW w:type="dxa" w:w="1800"/>
            <w:tcMar>
              <w:top w:type="dxa" w:w="80"/>
              <w:left w:type="dxa" w:w="120"/>
              <w:bottom w:type="dxa" w:w="80"/>
              <w:right w:type="dxa" w:w="120"/>
            </w:tcMar>
          </w:tcPr>
          <w:p>
            <w:r>
              <w:rPr>
                <w:b w:val="false"/>
                <w:bCs w:val="false"/>
                <w:color w:val="000000"/>
                <w:sz w:val="19"/>
                <w:szCs w:val="19"/>
              </w:rPr>
              <w:t xml:space="preserve">SQLAlchemy (ORM)</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Maps EnergyReading, Asset, AssetReading, MaintenanceEvent to SQL tables</w:t>
            </w:r>
          </w:p>
        </w:tc>
        <w:tc>
          <w:tcPr>
            <w:tcW w:type="dxa" w:w="4200"/>
            <w:tcMar>
              <w:top w:type="dxa" w:w="80"/>
              <w:left w:type="dxa" w:w="120"/>
              <w:bottom w:type="dxa" w:w="80"/>
              <w:right w:type="dxa" w:w="120"/>
            </w:tcMar>
          </w:tcPr>
          <w:p>
            <w:r>
              <w:rPr>
                <w:b w:val="false"/>
                <w:bCs w:val="false"/>
                <w:color w:val="000000"/>
                <w:sz w:val="19"/>
                <w:szCs w:val="19"/>
              </w:rPr>
              <w:t xml:space="preserve">Query the database as Python objects instead of writing raw SQL strings everywhere</w:t>
            </w:r>
          </w:p>
        </w:tc>
      </w:tr>
      <w:tr>
        <w:tc>
          <w:tcPr>
            <w:tcW w:type="dxa" w:w="1800"/>
            <w:tcMar>
              <w:top w:type="dxa" w:w="80"/>
              <w:left w:type="dxa" w:w="120"/>
              <w:bottom w:type="dxa" w:w="80"/>
              <w:right w:type="dxa" w:w="120"/>
            </w:tcMar>
          </w:tcPr>
          <w:p>
            <w:r>
              <w:rPr>
                <w:b w:val="false"/>
                <w:bCs w:val="false"/>
                <w:color w:val="000000"/>
                <w:sz w:val="19"/>
                <w:szCs w:val="19"/>
              </w:rPr>
              <w:t xml:space="preserve">SQLite</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The actual database file</w:t>
            </w:r>
          </w:p>
        </w:tc>
        <w:tc>
          <w:tcPr>
            <w:tcW w:type="dxa" w:w="4200"/>
            <w:tcMar>
              <w:top w:type="dxa" w:w="80"/>
              <w:left w:type="dxa" w:w="120"/>
              <w:bottom w:type="dxa" w:w="80"/>
              <w:right w:type="dxa" w:w="120"/>
            </w:tcMar>
          </w:tcPr>
          <w:p>
            <w:r>
              <w:rPr>
                <w:b w:val="false"/>
                <w:bCs w:val="false"/>
                <w:color w:val="000000"/>
                <w:sz w:val="19"/>
                <w:szCs w:val="19"/>
              </w:rPr>
              <w:t xml:space="preserve">Zero setup for a college project — file-based, no server process to run. One connection-string change in config.py would swap it for PostgreSQL in production; nothing else in the code would need to change</w:t>
            </w:r>
          </w:p>
        </w:tc>
      </w:tr>
      <w:tr>
        <w:tc>
          <w:tcPr>
            <w:tcW w:type="dxa" w:w="1800"/>
            <w:tcMar>
              <w:top w:type="dxa" w:w="80"/>
              <w:left w:type="dxa" w:w="120"/>
              <w:bottom w:type="dxa" w:w="80"/>
              <w:right w:type="dxa" w:w="120"/>
            </w:tcMar>
          </w:tcPr>
          <w:p>
            <w:r>
              <w:rPr>
                <w:b w:val="false"/>
                <w:bCs w:val="false"/>
                <w:color w:val="000000"/>
                <w:sz w:val="19"/>
                <w:szCs w:val="19"/>
              </w:rPr>
              <w:t xml:space="preserve">pandas / NumPy</w:t>
            </w:r>
          </w:p>
        </w:tc>
        <w:tc>
          <w:tcPr>
            <w:tcW w:type="dxa" w:w="1000"/>
            <w:tcMar>
              <w:top w:type="dxa" w:w="80"/>
              <w:left w:type="dxa" w:w="120"/>
              <w:bottom w:type="dxa" w:w="80"/>
              <w:right w:type="dxa" w:w="120"/>
            </w:tcMar>
          </w:tcPr>
          <w:p>
            <w:r>
              <w:rPr>
                <w:b w:val="false"/>
                <w:bCs w:val="false"/>
                <w:color w:val="000000"/>
                <w:sz w:val="19"/>
                <w:szCs w:val="19"/>
              </w:rPr>
              <w:t xml:space="preserve">3.0.2 / 2.4.4</w:t>
            </w:r>
          </w:p>
        </w:tc>
        <w:tc>
          <w:tcPr>
            <w:tcW w:type="dxa" w:w="2800"/>
            <w:tcMar>
              <w:top w:type="dxa" w:w="80"/>
              <w:left w:type="dxa" w:w="120"/>
              <w:bottom w:type="dxa" w:w="80"/>
              <w:right w:type="dxa" w:w="120"/>
            </w:tcMar>
          </w:tcPr>
          <w:p>
            <w:r>
              <w:rPr>
                <w:b w:val="false"/>
                <w:bCs w:val="false"/>
                <w:color w:val="000000"/>
                <w:sz w:val="19"/>
                <w:szCs w:val="19"/>
              </w:rPr>
              <w:t xml:space="preserve">All analytics and ML feature engineering</w:t>
            </w:r>
          </w:p>
        </w:tc>
        <w:tc>
          <w:tcPr>
            <w:tcW w:type="dxa" w:w="4200"/>
            <w:tcMar>
              <w:top w:type="dxa" w:w="80"/>
              <w:left w:type="dxa" w:w="120"/>
              <w:bottom w:type="dxa" w:w="80"/>
              <w:right w:type="dxa" w:w="120"/>
            </w:tcMar>
          </w:tcPr>
          <w:p>
            <w:r>
              <w:rPr>
                <w:b w:val="false"/>
                <w:bCs w:val="false"/>
                <w:color w:val="000000"/>
                <w:sz w:val="19"/>
                <w:szCs w:val="19"/>
              </w:rPr>
              <w:t xml:space="preserve">Rolling averages, groupby aggregations, z-score anomaly detection, np.polyfit for trend slope</w:t>
            </w:r>
          </w:p>
        </w:tc>
      </w:tr>
      <w:tr>
        <w:tc>
          <w:tcPr>
            <w:tcW w:type="dxa" w:w="1800"/>
            <w:tcMar>
              <w:top w:type="dxa" w:w="80"/>
              <w:left w:type="dxa" w:w="120"/>
              <w:bottom w:type="dxa" w:w="80"/>
              <w:right w:type="dxa" w:w="120"/>
            </w:tcMar>
          </w:tcPr>
          <w:p>
            <w:r>
              <w:rPr>
                <w:b w:val="false"/>
                <w:bCs w:val="false"/>
                <w:color w:val="000000"/>
                <w:sz w:val="19"/>
                <w:szCs w:val="19"/>
              </w:rPr>
              <w:t xml:space="preserve">scikit-learn</w:t>
            </w:r>
          </w:p>
        </w:tc>
        <w:tc>
          <w:tcPr>
            <w:tcW w:type="dxa" w:w="1000"/>
            <w:tcMar>
              <w:top w:type="dxa" w:w="80"/>
              <w:left w:type="dxa" w:w="120"/>
              <w:bottom w:type="dxa" w:w="80"/>
              <w:right w:type="dxa" w:w="120"/>
            </w:tcMar>
          </w:tcPr>
          <w:p>
            <w:r>
              <w:rPr>
                <w:b w:val="false"/>
                <w:bCs w:val="false"/>
                <w:color w:val="000000"/>
                <w:sz w:val="19"/>
                <w:szCs w:val="19"/>
              </w:rPr>
              <w:t xml:space="preserve">1.8.0</w:t>
            </w:r>
          </w:p>
        </w:tc>
        <w:tc>
          <w:tcPr>
            <w:tcW w:type="dxa" w:w="2800"/>
            <w:tcMar>
              <w:top w:type="dxa" w:w="80"/>
              <w:left w:type="dxa" w:w="120"/>
              <w:bottom w:type="dxa" w:w="80"/>
              <w:right w:type="dxa" w:w="120"/>
            </w:tcMar>
          </w:tcPr>
          <w:p>
            <w:r>
              <w:rPr>
                <w:b w:val="false"/>
                <w:bCs w:val="false"/>
                <w:color w:val="000000"/>
                <w:sz w:val="19"/>
                <w:szCs w:val="19"/>
              </w:rPr>
              <w:t xml:space="preserve">Every trained model: LinearRegression, RandomForestRegressor, GradientBoostingRegressor + TimeSeriesSplit</w:t>
            </w:r>
          </w:p>
        </w:tc>
        <w:tc>
          <w:tcPr>
            <w:tcW w:type="dxa" w:w="4200"/>
            <w:tcMar>
              <w:top w:type="dxa" w:w="80"/>
              <w:left w:type="dxa" w:w="120"/>
              <w:bottom w:type="dxa" w:w="80"/>
              <w:right w:type="dxa" w:w="120"/>
            </w:tcMar>
          </w:tcPr>
          <w:p>
            <w:r>
              <w:rPr>
                <w:b w:val="false"/>
                <w:bCs w:val="false"/>
                <w:color w:val="000000"/>
                <w:sz w:val="19"/>
                <w:szCs w:val="19"/>
              </w:rPr>
              <w:t xml:space="preserve">Industry-standard, well-documented, and honest about model internals (feature_importances_, predict, score) rather than a black box</w:t>
            </w:r>
          </w:p>
        </w:tc>
      </w:tr>
      <w:tr>
        <w:tc>
          <w:tcPr>
            <w:tcW w:type="dxa" w:w="1800"/>
            <w:tcMar>
              <w:top w:type="dxa" w:w="80"/>
              <w:left w:type="dxa" w:w="120"/>
              <w:bottom w:type="dxa" w:w="80"/>
              <w:right w:type="dxa" w:w="120"/>
            </w:tcMar>
          </w:tcPr>
          <w:p>
            <w:r>
              <w:rPr>
                <w:b w:val="false"/>
                <w:bCs w:val="false"/>
                <w:color w:val="000000"/>
                <w:sz w:val="19"/>
                <w:szCs w:val="19"/>
              </w:rPr>
              <w:t xml:space="preserve">joblib</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Serializes trained models to .pkl</w:t>
            </w:r>
          </w:p>
        </w:tc>
        <w:tc>
          <w:tcPr>
            <w:tcW w:type="dxa" w:w="4200"/>
            <w:tcMar>
              <w:top w:type="dxa" w:w="80"/>
              <w:left w:type="dxa" w:w="120"/>
              <w:bottom w:type="dxa" w:w="80"/>
              <w:right w:type="dxa" w:w="120"/>
            </w:tcMar>
          </w:tcPr>
          <w:p>
            <w:r>
              <w:rPr>
                <w:b w:val="false"/>
                <w:bCs w:val="false"/>
                <w:color w:val="000000"/>
                <w:sz w:val="19"/>
                <w:szCs w:val="19"/>
              </w:rPr>
              <w:t xml:space="preserve">The API loads the model once at startup and reuses it, instead of retraining on every request</w:t>
            </w:r>
          </w:p>
        </w:tc>
      </w:tr>
      <w:tr>
        <w:tc>
          <w:tcPr>
            <w:tcW w:type="dxa" w:w="1800"/>
            <w:tcMar>
              <w:top w:type="dxa" w:w="80"/>
              <w:left w:type="dxa" w:w="120"/>
              <w:bottom w:type="dxa" w:w="80"/>
              <w:right w:type="dxa" w:w="120"/>
            </w:tcMar>
          </w:tcPr>
          <w:p>
            <w:r>
              <w:rPr>
                <w:b w:val="false"/>
                <w:bCs w:val="false"/>
                <w:color w:val="000000"/>
                <w:sz w:val="19"/>
                <w:szCs w:val="19"/>
              </w:rPr>
              <w:t xml:space="preserve">Groq SDK (OpenAI-compatible)</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Real LLM tool-calling for the agentic layer</w:t>
            </w:r>
          </w:p>
        </w:tc>
        <w:tc>
          <w:tcPr>
            <w:tcW w:type="dxa" w:w="4200"/>
            <w:tcMar>
              <w:top w:type="dxa" w:w="80"/>
              <w:left w:type="dxa" w:w="120"/>
              <w:bottom w:type="dxa" w:w="80"/>
              <w:right w:type="dxa" w:w="120"/>
            </w:tcMar>
          </w:tcPr>
          <w:p>
            <w:r>
              <w:rPr>
                <w:b w:val="false"/>
                <w:bCs w:val="false"/>
                <w:color w:val="000000"/>
                <w:sz w:val="19"/>
                <w:szCs w:val="19"/>
              </w:rPr>
              <w:t xml:space="preserve">Fast inference, generous free tier, and its function-calling API is OpenAI-compatible so the same tool schema works if you ever swap providers</w:t>
            </w:r>
          </w:p>
        </w:tc>
      </w:tr>
      <w:tr>
        <w:tc>
          <w:tcPr>
            <w:tcW w:type="dxa" w:w="1800"/>
            <w:tcMar>
              <w:top w:type="dxa" w:w="80"/>
              <w:left w:type="dxa" w:w="120"/>
              <w:bottom w:type="dxa" w:w="80"/>
              <w:right w:type="dxa" w:w="120"/>
            </w:tcMar>
          </w:tcPr>
          <w:p>
            <w:r>
              <w:rPr>
                <w:b w:val="false"/>
                <w:bCs w:val="false"/>
                <w:color w:val="000000"/>
                <w:sz w:val="19"/>
                <w:szCs w:val="19"/>
              </w:rPr>
              <w:t xml:space="preserve">google-genai SDK</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Alternate real LLM provider (Gemini)</w:t>
            </w:r>
          </w:p>
        </w:tc>
        <w:tc>
          <w:tcPr>
            <w:tcW w:type="dxa" w:w="4200"/>
            <w:tcMar>
              <w:top w:type="dxa" w:w="80"/>
              <w:left w:type="dxa" w:w="120"/>
              <w:bottom w:type="dxa" w:w="80"/>
              <w:right w:type="dxa" w:w="120"/>
            </w:tcMar>
          </w:tcPr>
          <w:p>
            <w:r>
              <w:rPr>
                <w:b w:val="false"/>
                <w:bCs w:val="false"/>
                <w:color w:val="000000"/>
                <w:sz w:val="19"/>
                <w:szCs w:val="19"/>
              </w:rPr>
              <w:t xml:space="preserve">Second provider option via the same AIProvider abstraction — proves the agentic layer isn't hardcoded to one vendor</w:t>
            </w:r>
          </w:p>
        </w:tc>
      </w:tr>
      <w:tr>
        <w:tc>
          <w:tcPr>
            <w:tcW w:type="dxa" w:w="1800"/>
            <w:tcMar>
              <w:top w:type="dxa" w:w="80"/>
              <w:left w:type="dxa" w:w="120"/>
              <w:bottom w:type="dxa" w:w="80"/>
              <w:right w:type="dxa" w:w="120"/>
            </w:tcMar>
          </w:tcPr>
          <w:p>
            <w:r>
              <w:rPr>
                <w:b w:val="false"/>
                <w:bCs w:val="false"/>
                <w:color w:val="000000"/>
                <w:sz w:val="19"/>
                <w:szCs w:val="19"/>
              </w:rPr>
              <w:t xml:space="preserve">pytest + httpx/TestClient</w:t>
            </w:r>
          </w:p>
        </w:tc>
        <w:tc>
          <w:tcPr>
            <w:tcW w:type="dxa" w:w="1000"/>
            <w:tcMar>
              <w:top w:type="dxa" w:w="80"/>
              <w:left w:type="dxa" w:w="120"/>
              <w:bottom w:type="dxa" w:w="80"/>
              <w:right w:type="dxa" w:w="120"/>
            </w:tcMar>
          </w:tcPr>
          <w:p>
            <w:r>
              <w:rPr>
                <w:b w:val="false"/>
                <w:bCs w:val="false"/>
                <w:color w:val="000000"/>
                <w:sz w:val="19"/>
                <w:szCs w:val="19"/>
              </w:rPr>
              <w:t xml:space="preserve">—</w:t>
            </w:r>
          </w:p>
        </w:tc>
        <w:tc>
          <w:tcPr>
            <w:tcW w:type="dxa" w:w="2800"/>
            <w:tcMar>
              <w:top w:type="dxa" w:w="80"/>
              <w:left w:type="dxa" w:w="120"/>
              <w:bottom w:type="dxa" w:w="80"/>
              <w:right w:type="dxa" w:w="120"/>
            </w:tcMar>
          </w:tcPr>
          <w:p>
            <w:r>
              <w:rPr>
                <w:b w:val="false"/>
                <w:bCs w:val="false"/>
                <w:color w:val="000000"/>
                <w:sz w:val="19"/>
                <w:szCs w:val="19"/>
              </w:rPr>
              <w:t xml:space="preserve">24 backend tests</w:t>
            </w:r>
          </w:p>
        </w:tc>
        <w:tc>
          <w:tcPr>
            <w:tcW w:type="dxa" w:w="4200"/>
            <w:tcMar>
              <w:top w:type="dxa" w:w="80"/>
              <w:left w:type="dxa" w:w="120"/>
              <w:bottom w:type="dxa" w:w="80"/>
              <w:right w:type="dxa" w:w="120"/>
            </w:tcMar>
          </w:tcPr>
          <w:p>
            <w:r>
              <w:rPr>
                <w:b w:val="false"/>
                <w:bCs w:val="false"/>
                <w:color w:val="000000"/>
                <w:sz w:val="19"/>
                <w:szCs w:val="19"/>
              </w:rPr>
              <w:t xml:space="preserve">Tests hit the real FastAPI app in-process, no server needs to be running</w:t>
            </w:r>
          </w:p>
        </w:tc>
      </w:tr>
    </w:tbl>
    <w:p>
      <w:pPr>
        <w:pStyle w:val="Heading2"/>
        <w:spacing w:after="120" w:before="280"/>
      </w:pPr>
      <w:r>
        <w:t xml:space="preserve">2.2 Frontend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500"/>
      </w:tblGrid>
      <w:tr>
        <w:tc>
          <w:tcPr>
            <w:tcW w:type="dxa" w:w="1900"/>
            <w:shd w:fill="1E293B" w:color="auto" w:val="clear"/>
            <w:tcMar>
              <w:top w:type="dxa" w:w="80"/>
              <w:left w:type="dxa" w:w="120"/>
              <w:bottom w:type="dxa" w:w="80"/>
              <w:right w:type="dxa" w:w="120"/>
            </w:tcMar>
          </w:tcPr>
          <w:p>
            <w:r>
              <w:rPr>
                <w:b/>
                <w:bCs/>
                <w:color w:val="FFFFFF"/>
                <w:sz w:val="19"/>
                <w:szCs w:val="19"/>
              </w:rPr>
              <w:t xml:space="preserve">Technology</w:t>
            </w:r>
          </w:p>
        </w:tc>
        <w:tc>
          <w:tcPr>
            <w:tcW w:type="dxa" w:w="3400"/>
            <w:shd w:fill="1E293B" w:color="auto" w:val="clear"/>
            <w:tcMar>
              <w:top w:type="dxa" w:w="80"/>
              <w:left w:type="dxa" w:w="120"/>
              <w:bottom w:type="dxa" w:w="80"/>
              <w:right w:type="dxa" w:w="120"/>
            </w:tcMar>
          </w:tcPr>
          <w:p>
            <w:r>
              <w:rPr>
                <w:b/>
                <w:bCs/>
                <w:color w:val="FFFFFF"/>
                <w:sz w:val="19"/>
                <w:szCs w:val="19"/>
              </w:rPr>
              <w:t xml:space="preserve">Role</w:t>
            </w:r>
          </w:p>
        </w:tc>
        <w:tc>
          <w:tcPr>
            <w:tcW w:type="dxa" w:w="4500"/>
            <w:shd w:fill="1E293B" w:color="auto" w:val="clear"/>
            <w:tcMar>
              <w:top w:type="dxa" w:w="80"/>
              <w:left w:type="dxa" w:w="120"/>
              <w:bottom w:type="dxa" w:w="80"/>
              <w:right w:type="dxa" w:w="120"/>
            </w:tcMar>
          </w:tcPr>
          <w:p>
            <w:r>
              <w:rPr>
                <w:b/>
                <w:bCs/>
                <w:color w:val="FFFFFF"/>
                <w:sz w:val="19"/>
                <w:szCs w:val="19"/>
              </w:rPr>
              <w:t xml:space="preserve">Why this and not an alternative</w:t>
            </w:r>
          </w:p>
        </w:tc>
      </w:tr>
      <w:tr>
        <w:tc>
          <w:tcPr>
            <w:tcW w:type="dxa" w:w="1900"/>
            <w:tcMar>
              <w:top w:type="dxa" w:w="80"/>
              <w:left w:type="dxa" w:w="120"/>
              <w:bottom w:type="dxa" w:w="80"/>
              <w:right w:type="dxa" w:w="120"/>
            </w:tcMar>
          </w:tcPr>
          <w:p>
            <w:r>
              <w:rPr>
                <w:b w:val="false"/>
                <w:bCs w:val="false"/>
                <w:color w:val="000000"/>
                <w:sz w:val="19"/>
                <w:szCs w:val="19"/>
              </w:rPr>
              <w:t xml:space="preserve">React 18</w:t>
            </w:r>
          </w:p>
        </w:tc>
        <w:tc>
          <w:tcPr>
            <w:tcW w:type="dxa" w:w="3400"/>
            <w:tcMar>
              <w:top w:type="dxa" w:w="80"/>
              <w:left w:type="dxa" w:w="120"/>
              <w:bottom w:type="dxa" w:w="80"/>
              <w:right w:type="dxa" w:w="120"/>
            </w:tcMar>
          </w:tcPr>
          <w:p>
            <w:r>
              <w:rPr>
                <w:b w:val="false"/>
                <w:bCs w:val="false"/>
                <w:color w:val="000000"/>
                <w:sz w:val="19"/>
                <w:szCs w:val="19"/>
              </w:rPr>
              <w:t xml:space="preserve">All UI, functional components + hooks</w:t>
            </w:r>
          </w:p>
        </w:tc>
        <w:tc>
          <w:tcPr>
            <w:tcW w:type="dxa" w:w="4500"/>
            <w:tcMar>
              <w:top w:type="dxa" w:w="80"/>
              <w:left w:type="dxa" w:w="120"/>
              <w:bottom w:type="dxa" w:w="80"/>
              <w:right w:type="dxa" w:w="120"/>
            </w:tcMar>
          </w:tcPr>
          <w:p>
            <w:r>
              <w:rPr>
                <w:b w:val="false"/>
                <w:bCs w:val="false"/>
                <w:color w:val="000000"/>
                <w:sz w:val="19"/>
                <w:szCs w:val="19"/>
              </w:rPr>
              <w:t xml:space="preserve">Component reuse across two dashboards (Energy, Maintenance) that share a design system</w:t>
            </w:r>
          </w:p>
        </w:tc>
      </w:tr>
      <w:tr>
        <w:tc>
          <w:tcPr>
            <w:tcW w:type="dxa" w:w="1900"/>
            <w:tcMar>
              <w:top w:type="dxa" w:w="80"/>
              <w:left w:type="dxa" w:w="120"/>
              <w:bottom w:type="dxa" w:w="80"/>
              <w:right w:type="dxa" w:w="120"/>
            </w:tcMar>
          </w:tcPr>
          <w:p>
            <w:r>
              <w:rPr>
                <w:b w:val="false"/>
                <w:bCs w:val="false"/>
                <w:color w:val="000000"/>
                <w:sz w:val="19"/>
                <w:szCs w:val="19"/>
              </w:rPr>
              <w:t xml:space="preserve">Vite</w:t>
            </w:r>
          </w:p>
        </w:tc>
        <w:tc>
          <w:tcPr>
            <w:tcW w:type="dxa" w:w="3400"/>
            <w:tcMar>
              <w:top w:type="dxa" w:w="80"/>
              <w:left w:type="dxa" w:w="120"/>
              <w:bottom w:type="dxa" w:w="80"/>
              <w:right w:type="dxa" w:w="120"/>
            </w:tcMar>
          </w:tcPr>
          <w:p>
            <w:r>
              <w:rPr>
                <w:b w:val="false"/>
                <w:bCs w:val="false"/>
                <w:color w:val="000000"/>
                <w:sz w:val="19"/>
                <w:szCs w:val="19"/>
              </w:rPr>
              <w:t xml:space="preserve">Dev server + production bundler</w:t>
            </w:r>
          </w:p>
        </w:tc>
        <w:tc>
          <w:tcPr>
            <w:tcW w:type="dxa" w:w="4500"/>
            <w:tcMar>
              <w:top w:type="dxa" w:w="80"/>
              <w:left w:type="dxa" w:w="120"/>
              <w:bottom w:type="dxa" w:w="80"/>
              <w:right w:type="dxa" w:w="120"/>
            </w:tcMar>
          </w:tcPr>
          <w:p>
            <w:r>
              <w:rPr>
                <w:b w:val="false"/>
                <w:bCs w:val="false"/>
                <w:color w:val="000000"/>
                <w:sz w:val="19"/>
                <w:szCs w:val="19"/>
              </w:rPr>
              <w:t xml:space="preserve">Much faster hot-reload than Create React App while iterating on components</w:t>
            </w:r>
          </w:p>
        </w:tc>
      </w:tr>
      <w:tr>
        <w:tc>
          <w:tcPr>
            <w:tcW w:type="dxa" w:w="1900"/>
            <w:tcMar>
              <w:top w:type="dxa" w:w="80"/>
              <w:left w:type="dxa" w:w="120"/>
              <w:bottom w:type="dxa" w:w="80"/>
              <w:right w:type="dxa" w:w="120"/>
            </w:tcMar>
          </w:tcPr>
          <w:p>
            <w:r>
              <w:rPr>
                <w:b w:val="false"/>
                <w:bCs w:val="false"/>
                <w:color w:val="000000"/>
                <w:sz w:val="19"/>
                <w:szCs w:val="19"/>
              </w:rPr>
              <w:t xml:space="preserve">React Router v6</w:t>
            </w:r>
          </w:p>
        </w:tc>
        <w:tc>
          <w:tcPr>
            <w:tcW w:type="dxa" w:w="3400"/>
            <w:tcMar>
              <w:top w:type="dxa" w:w="80"/>
              <w:left w:type="dxa" w:w="120"/>
              <w:bottom w:type="dxa" w:w="80"/>
              <w:right w:type="dxa" w:w="120"/>
            </w:tcMar>
          </w:tcPr>
          <w:p>
            <w:r>
              <w:rPr>
                <w:b w:val="false"/>
                <w:bCs w:val="false"/>
                <w:color w:val="000000"/>
                <w:sz w:val="19"/>
                <w:szCs w:val="19"/>
              </w:rPr>
              <w:t xml:space="preserve">/energy ⇄ /maintenance client-side routing</w:t>
            </w:r>
          </w:p>
        </w:tc>
        <w:tc>
          <w:tcPr>
            <w:tcW w:type="dxa" w:w="4500"/>
            <w:tcMar>
              <w:top w:type="dxa" w:w="80"/>
              <w:left w:type="dxa" w:w="120"/>
              <w:bottom w:type="dxa" w:w="80"/>
              <w:right w:type="dxa" w:w="120"/>
            </w:tcMar>
          </w:tcPr>
          <w:p>
            <w:r>
              <w:rPr>
                <w:b w:val="false"/>
                <w:bCs w:val="false"/>
                <w:color w:val="000000"/>
                <w:sz w:val="19"/>
                <w:szCs w:val="19"/>
              </w:rPr>
              <w:t xml:space="preserve">No full page reload when switching modules; powers the sidebar's active-link highlighting</w:t>
            </w:r>
          </w:p>
        </w:tc>
      </w:tr>
      <w:tr>
        <w:tc>
          <w:tcPr>
            <w:tcW w:type="dxa" w:w="1900"/>
            <w:tcMar>
              <w:top w:type="dxa" w:w="80"/>
              <w:left w:type="dxa" w:w="120"/>
              <w:bottom w:type="dxa" w:w="80"/>
              <w:right w:type="dxa" w:w="120"/>
            </w:tcMar>
          </w:tcPr>
          <w:p>
            <w:r>
              <w:rPr>
                <w:b w:val="false"/>
                <w:bCs w:val="false"/>
                <w:color w:val="000000"/>
                <w:sz w:val="19"/>
                <w:szCs w:val="19"/>
              </w:rPr>
              <w:t xml:space="preserve">Tailwind CSS</w:t>
            </w:r>
          </w:p>
        </w:tc>
        <w:tc>
          <w:tcPr>
            <w:tcW w:type="dxa" w:w="3400"/>
            <w:tcMar>
              <w:top w:type="dxa" w:w="80"/>
              <w:left w:type="dxa" w:w="120"/>
              <w:bottom w:type="dxa" w:w="80"/>
              <w:right w:type="dxa" w:w="120"/>
            </w:tcMar>
          </w:tcPr>
          <w:p>
            <w:r>
              <w:rPr>
                <w:b w:val="false"/>
                <w:bCs w:val="false"/>
                <w:color w:val="000000"/>
                <w:sz w:val="19"/>
                <w:szCs w:val="19"/>
              </w:rPr>
              <w:t xml:space="preserve">All styling</w:t>
            </w:r>
          </w:p>
        </w:tc>
        <w:tc>
          <w:tcPr>
            <w:tcW w:type="dxa" w:w="4500"/>
            <w:tcMar>
              <w:top w:type="dxa" w:w="80"/>
              <w:left w:type="dxa" w:w="120"/>
              <w:bottom w:type="dxa" w:w="80"/>
              <w:right w:type="dxa" w:w="120"/>
            </w:tcMar>
          </w:tcPr>
          <w:p>
            <w:r>
              <w:rPr>
                <w:b w:val="false"/>
                <w:bCs w:val="false"/>
                <w:color w:val="000000"/>
                <w:sz w:val="19"/>
                <w:szCs w:val="19"/>
              </w:rPr>
              <w:t xml:space="preserve">Design tokens (colors, fonts, spacing) defined once in tailwind.config.js and reused via class names instead of maintaining separate CSS files per component</w:t>
            </w:r>
          </w:p>
        </w:tc>
      </w:tr>
      <w:tr>
        <w:tc>
          <w:tcPr>
            <w:tcW w:type="dxa" w:w="1900"/>
            <w:tcMar>
              <w:top w:type="dxa" w:w="80"/>
              <w:left w:type="dxa" w:w="120"/>
              <w:bottom w:type="dxa" w:w="80"/>
              <w:right w:type="dxa" w:w="120"/>
            </w:tcMar>
          </w:tcPr>
          <w:p>
            <w:r>
              <w:rPr>
                <w:b w:val="false"/>
                <w:bCs w:val="false"/>
                <w:color w:val="000000"/>
                <w:sz w:val="19"/>
                <w:szCs w:val="19"/>
              </w:rPr>
              <w:t xml:space="preserve">Recharts</w:t>
            </w:r>
          </w:p>
        </w:tc>
        <w:tc>
          <w:tcPr>
            <w:tcW w:type="dxa" w:w="3400"/>
            <w:tcMar>
              <w:top w:type="dxa" w:w="80"/>
              <w:left w:type="dxa" w:w="120"/>
              <w:bottom w:type="dxa" w:w="80"/>
              <w:right w:type="dxa" w:w="120"/>
            </w:tcMar>
          </w:tcPr>
          <w:p>
            <w:r>
              <w:rPr>
                <w:b w:val="false"/>
                <w:bCs w:val="false"/>
                <w:color w:val="000000"/>
                <w:sz w:val="19"/>
                <w:szCs w:val="19"/>
              </w:rPr>
              <w:t xml:space="preserve">Consumption chart, breakdown chart, ML reliability scatter charts</w:t>
            </w:r>
          </w:p>
        </w:tc>
        <w:tc>
          <w:tcPr>
            <w:tcW w:type="dxa" w:w="4500"/>
            <w:tcMar>
              <w:top w:type="dxa" w:w="80"/>
              <w:left w:type="dxa" w:w="120"/>
              <w:bottom w:type="dxa" w:w="80"/>
              <w:right w:type="dxa" w:w="120"/>
            </w:tcMar>
          </w:tcPr>
          <w:p>
            <w:r>
              <w:rPr>
                <w:b w:val="false"/>
                <w:bCs w:val="false"/>
                <w:color w:val="000000"/>
                <w:sz w:val="19"/>
                <w:szCs w:val="19"/>
              </w:rPr>
              <w:t xml:space="preserve">Declarative React charting — avoids hand-rolling SVG axes/scales for standard chart types</w:t>
            </w:r>
          </w:p>
        </w:tc>
      </w:tr>
      <w:tr>
        <w:tc>
          <w:tcPr>
            <w:tcW w:type="dxa" w:w="1900"/>
            <w:tcMar>
              <w:top w:type="dxa" w:w="80"/>
              <w:left w:type="dxa" w:w="120"/>
              <w:bottom w:type="dxa" w:w="80"/>
              <w:right w:type="dxa" w:w="120"/>
            </w:tcMar>
          </w:tcPr>
          <w:p>
            <w:r>
              <w:rPr>
                <w:b w:val="false"/>
                <w:bCs w:val="false"/>
                <w:color w:val="000000"/>
                <w:sz w:val="19"/>
                <w:szCs w:val="19"/>
              </w:rPr>
              <w:t xml:space="preserve">Axios</w:t>
            </w:r>
          </w:p>
        </w:tc>
        <w:tc>
          <w:tcPr>
            <w:tcW w:type="dxa" w:w="3400"/>
            <w:tcMar>
              <w:top w:type="dxa" w:w="80"/>
              <w:left w:type="dxa" w:w="120"/>
              <w:bottom w:type="dxa" w:w="80"/>
              <w:right w:type="dxa" w:w="120"/>
            </w:tcMar>
          </w:tcPr>
          <w:p>
            <w:r>
              <w:rPr>
                <w:b w:val="false"/>
                <w:bCs w:val="false"/>
                <w:color w:val="000000"/>
                <w:sz w:val="19"/>
                <w:szCs w:val="19"/>
              </w:rPr>
              <w:t xml:space="preserve">HTTP calls from the browser to FastAPI</w:t>
            </w:r>
          </w:p>
        </w:tc>
        <w:tc>
          <w:tcPr>
            <w:tcW w:type="dxa" w:w="4500"/>
            <w:tcMar>
              <w:top w:type="dxa" w:w="80"/>
              <w:left w:type="dxa" w:w="120"/>
              <w:bottom w:type="dxa" w:w="80"/>
              <w:right w:type="dxa" w:w="120"/>
            </w:tcMar>
          </w:tcPr>
          <w:p>
            <w:r>
              <w:rPr>
                <w:b w:val="false"/>
                <w:bCs w:val="false"/>
                <w:color w:val="000000"/>
                <w:sz w:val="19"/>
                <w:szCs w:val="19"/>
              </w:rPr>
              <w:t xml:space="preserve">Cleaner request/response/error handling than raw fetch, used consistently across both services</w:t>
            </w:r>
          </w:p>
        </w:tc>
      </w:tr>
      <w:tr>
        <w:tc>
          <w:tcPr>
            <w:tcW w:type="dxa" w:w="1900"/>
            <w:tcMar>
              <w:top w:type="dxa" w:w="80"/>
              <w:left w:type="dxa" w:w="120"/>
              <w:bottom w:type="dxa" w:w="80"/>
              <w:right w:type="dxa" w:w="120"/>
            </w:tcMar>
          </w:tcPr>
          <w:p>
            <w:r>
              <w:rPr>
                <w:b w:val="false"/>
                <w:bCs w:val="false"/>
                <w:color w:val="000000"/>
                <w:sz w:val="19"/>
                <w:szCs w:val="19"/>
              </w:rPr>
              <w:t xml:space="preserve">Custom SVG (no library)</w:t>
            </w:r>
          </w:p>
        </w:tc>
        <w:tc>
          <w:tcPr>
            <w:tcW w:type="dxa" w:w="3400"/>
            <w:tcMar>
              <w:top w:type="dxa" w:w="80"/>
              <w:left w:type="dxa" w:w="120"/>
              <w:bottom w:type="dxa" w:w="80"/>
              <w:right w:type="dxa" w:w="120"/>
            </w:tcMar>
          </w:tcPr>
          <w:p>
            <w:r>
              <w:rPr>
                <w:b w:val="false"/>
                <w:bCs w:val="false"/>
                <w:color w:val="000000"/>
                <w:sz w:val="19"/>
                <w:szCs w:val="19"/>
              </w:rPr>
              <w:t xml:space="preserve">Fleet Health Radar, Agent Trace Viewer</w:t>
            </w:r>
          </w:p>
        </w:tc>
        <w:tc>
          <w:tcPr>
            <w:tcW w:type="dxa" w:w="4500"/>
            <w:tcMar>
              <w:top w:type="dxa" w:w="80"/>
              <w:left w:type="dxa" w:w="120"/>
              <w:bottom w:type="dxa" w:w="80"/>
              <w:right w:type="dxa" w:w="120"/>
            </w:tcMar>
          </w:tcPr>
          <w:p>
            <w:r>
              <w:rPr>
                <w:b w:val="false"/>
                <w:bCs w:val="false"/>
                <w:color w:val="000000"/>
                <w:sz w:val="19"/>
                <w:szCs w:val="19"/>
              </w:rPr>
              <w:t xml:space="preserve">These are non-standard layouts (points on a circle by health score; a live-revealing numbered trace) that no off-the-shelf chart library draws directly — hand-built SVG driven by React state instead</w:t>
            </w:r>
          </w:p>
        </w:tc>
      </w:tr>
    </w:tbl>
    <w:p>
      <w:pPr>
        <w:pStyle w:val="Heading2"/>
        <w:spacing w:after="120" w:before="280"/>
      </w:pPr>
      <w:r>
        <w:t xml:space="preserve">2.3 Infrastructure</w:t>
      </w:r>
    </w:p>
    <w:p>
      <w:pPr>
        <w:pStyle w:val="ListParagraph"/>
        <w:numPr>
          <w:ilvl w:val="0"/>
          <w:numId w:val="2"/>
        </w:numPr>
        <w:spacing w:after="70"/>
      </w:pPr>
      <w:r>
        <w:t xml:space="preserve">Docker + Docker Compose — one command (docker-compose up --build) runs backend + frontend identically on any machine, so a teammate doesn't need to manually match Python/Node versions.</w:t>
      </w:r>
    </w:p>
    <w:p>
      <w:pPr>
        <w:pStyle w:val="ListParagraph"/>
        <w:numPr>
          <w:ilvl w:val="0"/>
          <w:numId w:val="2"/>
        </w:numPr>
        <w:spacing w:after="70"/>
      </w:pPr>
      <w:r>
        <w:t xml:space="preserve">Git/GitHub — version control and the actual submission channel.</w:t>
      </w:r>
    </w:p>
    <w:p>
      <w:pPr>
        <w:pStyle w:val="Heading1"/>
        <w:spacing w:after="160" w:before="400"/>
      </w:pPr>
      <w:r>
        <w:t xml:space="preserve">3. How the Backend and Frontend Are Integrated</w:t>
      </w:r>
    </w:p>
    <w:p>
      <w:pPr>
        <w:pStyle w:val="Heading2"/>
        <w:spacing w:after="120" w:before="280"/>
      </w:pPr>
      <w:r>
        <w:t xml:space="preserve">3.1 The shape of the connection</w:t>
      </w:r>
    </w:p>
    <w:p>
      <w:pPr>
        <w:spacing w:after="140"/>
      </w:pPr>
      <w:r>
        <w:t xml:space="preserve">The backend and frontend are two completely separate processes — FastAPI on :8000, Vite dev server on :5173 — that only ever talk over HTTP/JSON. There is no shared code, no server-side rendering, no session state on the backend beyond the SQLite database itself. This separation is deliberate: it's the same shape a production deployment would use, just pointed at localhost instead of a real domain.</w:t>
      </w:r>
    </w:p>
    <w:p>
      <w:pPr>
        <w:pStyle w:val="Heading2"/>
        <w:spacing w:after="120" w:before="280"/>
      </w:pPr>
      <w:r>
        <w:t xml:space="preserve">3.2 Request flow, step by step</w:t>
      </w:r>
    </w:p>
    <w:p>
      <w:pPr>
        <w:pStyle w:val="ListParagraph"/>
        <w:numPr>
          <w:ilvl w:val="0"/>
          <w:numId w:val="3"/>
        </w:numPr>
        <w:spacing w:after="70"/>
      </w:pPr>
      <w:r>
        <w:t xml:space="preserve">A dashboard page (e.g. MaintenanceDashboardPage.jsx) mounts and its useEffect calls a function like maintenanceService.getFleet().</w:t>
      </w:r>
    </w:p>
    <w:p>
      <w:pPr>
        <w:pStyle w:val="ListParagraph"/>
        <w:numPr>
          <w:ilvl w:val="0"/>
          <w:numId w:val="3"/>
        </w:numPr>
        <w:spacing w:after="70"/>
      </w:pPr>
      <w:r>
        <w:t xml:space="preserve">That service function (frontend/src/services/maintenanceService.js) is a thin Axios wrapper — it just does axios.get('/maintenance/fleet') against a configured base URL and returns response.data. No business logic lives here on purpose.</w:t>
      </w:r>
    </w:p>
    <w:p>
      <w:pPr>
        <w:pStyle w:val="ListParagraph"/>
        <w:numPr>
          <w:ilvl w:val="0"/>
          <w:numId w:val="3"/>
        </w:numPr>
        <w:spacing w:after="70"/>
      </w:pPr>
      <w:r>
        <w:t xml:space="preserve">Vite's dev server proxies that request to http://localhost:8000 (configured in vite.config.js), or in production the frontend is built as static files and the browser calls the API's real URL directly.</w:t>
      </w:r>
    </w:p>
    <w:p>
      <w:pPr>
        <w:pStyle w:val="ListParagraph"/>
        <w:numPr>
          <w:ilvl w:val="0"/>
          <w:numId w:val="3"/>
        </w:numPr>
        <w:spacing w:after="70"/>
      </w:pPr>
      <w:r>
        <w:t xml:space="preserve">FastAPI receives GET /maintenance/fleet, and the route handler in maintenance_routes.py constructs a MaintenanceAgent(db, building_id) and calls .run().</w:t>
      </w:r>
    </w:p>
    <w:p>
      <w:pPr>
        <w:pStyle w:val="ListParagraph"/>
        <w:numPr>
          <w:ilvl w:val="0"/>
          <w:numId w:val="3"/>
        </w:numPr>
        <w:spacing w:after="70"/>
      </w:pPr>
      <w:r>
        <w:t xml:space="preserve">MaintenanceAgent.analyze() loads sensor readings via SQLAlchemy, runs the trained Gradient Boosting model on each asset's latest readings, and computes a health score per asset. .recommend() turns that into ranked alerts.</w:t>
      </w:r>
    </w:p>
    <w:p>
      <w:pPr>
        <w:pStyle w:val="ListParagraph"/>
        <w:numPr>
          <w:ilvl w:val="0"/>
          <w:numId w:val="3"/>
        </w:numPr>
        <w:spacing w:after="70"/>
      </w:pPr>
      <w:r>
        <w:t xml:space="preserve">FastAPI serializes the returned dict to JSON automatically (via Pydantic/FastAPI's response handling) and sends it back.</w:t>
      </w:r>
    </w:p>
    <w:p>
      <w:pPr>
        <w:pStyle w:val="ListParagraph"/>
        <w:numPr>
          <w:ilvl w:val="0"/>
          <w:numId w:val="3"/>
        </w:numPr>
        <w:spacing w:after="70"/>
      </w:pPr>
      <w:r>
        <w:t xml:space="preserve">Axios resolves the promise, the React component calls setFleetData(fleet), and React re-renders the KPI cards, the Fleet Health Radar, and the Asset Table from that single response — this is why /maintenance/fleet exists as one combined endpoint instead of four separate calls: it's the single call that powers the whole dashboard.</w:t>
      </w:r>
    </w:p>
    <w:p>
      <w:pPr>
        <w:pStyle w:val="Heading2"/>
        <w:spacing w:after="120" w:before="280"/>
      </w:pPr>
      <w:r>
        <w:t xml:space="preserve">3.3 The reverse direction — frontend actions changing backend state</w:t>
      </w:r>
    </w:p>
    <w:p>
      <w:pPr>
        <w:spacing w:after="140"/>
      </w:pPr>
      <w:r>
        <w:t xml:space="preserve">Not every interaction is read-only. Clicking “investigate fleet health” calls GET /maintenance/investigate, which runs the actual agentic loop server-side (the LLM decides which tools to call, potentially including create_work_order) and can write a new row to the maintenance_events table. The frontend then explicitly re-fetches GET /maintenance/work-orders afterward so the Work Orders panel reflects that new row immediately — this is a manual refetch-after-mutation pattern, not a websocket push, which is an honest simplification worth being able to explain if asked “does the UI update in real time?” (Section 6.2 below covers how the “Live” polling added in this pass makes the rest of the dashboard behave like a monitoring screen even without websockets.)</w:t>
      </w:r>
    </w:p>
    <w:p>
      <w:pPr>
        <w:pStyle w:val="Heading2"/>
        <w:spacing w:after="120" w:before="280"/>
      </w:pPr>
      <w:r>
        <w:t xml:space="preserve">3.4 CORS and configuration</w:t>
      </w:r>
    </w:p>
    <w:p>
      <w:pPr>
        <w:spacing w:after="140"/>
      </w:pPr>
      <w:r>
        <w:t xml:space="preserve">Because the frontend (port 5173) and backend (port 8000) are different origins, FastAPI's CORS middleware in app/main.py explicitly allows the frontend's origin. Both frontend/.env and backend/.env hold the only environment-specific values (API base URL, AI provider keys) — nothing else changes between a laptop run and a Docker run.</w:t>
      </w:r>
    </w:p>
    <w:p>
      <w:pPr>
        <w:pStyle w:val="Heading2"/>
        <w:spacing w:after="120" w:before="280"/>
      </w:pPr>
      <w:r>
        <w:t xml:space="preserve">3.5 The service-layer pattern (why every component doesn't call Axios directly)</w:t>
      </w:r>
    </w:p>
    <w:p>
      <w:pPr>
        <w:spacing w:after="140"/>
      </w:pPr>
      <w:r>
        <w:t xml:space="preserve">Every API call goes through energyService.js or maintenanceService.js rather than components calling Axios inline. This means: (1) the base URL and error handling are defined once, (2) if an endpoint's shape changes, only one file needs updating, not every component that uses it, and (3) it makes the frontend's actual contract with the backend readable in two short files instead of scattered across a dozen components.</w:t>
      </w:r>
    </w:p>
    <w:p>
      <w:pPr>
        <w:pStyle w:val="Heading1"/>
        <w:spacing w:after="160" w:before="400"/>
      </w:pPr>
      <w:r>
        <w:t xml:space="preserve">4. How This Was Actually Built — Process, Prompting, and Your Own Work</w:t>
      </w:r>
    </w:p>
    <w:p>
      <w:pPr>
        <w:pBdr>
          <w:left w:val="single" w:color="0D9488" w:sz="12" w:space="8"/>
        </w:pBdr>
        <w:spacing w:after="180" w:before="60"/>
        <w:ind w:left="200"/>
      </w:pPr>
      <w:r>
        <w:rPr>
          <w:i/>
          <w:iCs/>
          <w:color w:val="555555"/>
        </w:rPr>
        <w:t xml:space="preserve">This section is written to be honest, not impressive — the point of writing it down is so you can answer “how did you build this?” truthfully and in detail, not so you have a script to recite.</w:t>
      </w:r>
    </w:p>
    <w:p>
      <w:pPr>
        <w:pStyle w:val="Heading2"/>
        <w:spacing w:after="120" w:before="280"/>
      </w:pPr>
      <w:r>
        <w:t xml:space="preserve">4.1 The general workflow</w:t>
      </w:r>
    </w:p>
    <w:p>
      <w:pPr>
        <w:spacing w:after="140"/>
      </w:pPr>
      <w:r>
        <w:t xml:space="preserve">Development followed an iterative, AI-assisted pattern across both milestones: you set the direction and constraints (what dataset to use, what the design system should look like, what “honest” meant for reported accuracy numbers, which agent methods should exist), an AI assistant (Claude) generated the first pass of code, backend routes, ML training scripts, and UI components against those constraints, and you then reviewed, ran, and tested every piece before accepting it — including running the actual test suite, checking Swagger responses manually, and reading through generated code rather than pasting it in unseen.</w:t>
      </w:r>
    </w:p>
    <w:p>
      <w:pPr>
        <w:spacing w:after="140"/>
      </w:pPr>
      <w:r>
        <w:t xml:space="preserve">What you did yourself, specifically: chose the overall four-step agent architecture and insisted it be reused rather than redesigned per milestone; chose both datasets and evaluated alternatives before settling (see Section 5); set the non-negotiable requirement that ML accuracy be reported honestly even when a model underperformed (the 24h energy forecast's marginal ~5% improvement, reported as low confidence, is a direct result of that decision rather than something a purely automated pipeline would have surfaced on its own); ran and verified every test suite and build yourself rather than trusting a report of “all tests pass”; reviewed teammate contributions (see Section 4.3) and caught real integration bugs before they shipped; and made the final call on every design and UX decision, including the colour and “live data” revisions in this very pass.</w:t>
      </w:r>
    </w:p>
    <w:p>
      <w:pPr>
        <w:spacing w:after="140"/>
      </w:pPr>
      <w:r>
        <w:t xml:space="preserve">What you asked the assistant to do: scaffold FastAPI routes and SQLAlchemy models against a spec you gave it; write and iterate on ML training scripts (compare algorithms, cross-validate, report metrics) against requirements you set (“compare against a naive baseline,” “use TimeSeriesSplit, not shuffled CV”); build React components against a described design system; debug specific failing tests and specific error messages you pasted in; and — as in this session — audit a teammate's merged code against the actual backend contract to find real bugs (see Section 4.3) rather than just eyeballing it.</w:t>
      </w:r>
    </w:p>
    <w:p>
      <w:pPr>
        <w:pStyle w:val="Heading2"/>
        <w:spacing w:after="120" w:before="280"/>
      </w:pPr>
      <w:r>
        <w:t xml:space="preserve">4.2 A concrete example, worth remembering for a viva</w:t>
      </w:r>
    </w:p>
    <w:p>
      <w:pPr>
        <w:spacing w:after="140"/>
      </w:pPr>
      <w:r>
        <w:t xml:space="preserve">A good, true story to tell if asked “give me a specific example of a problem you solved”: after a teammate delivered their implementation of the Work Orders panel, it looked fine visually but silently displayed the wrong data — it read order.title, order.description, and order.priority, none of which exist on the backend's WorkOrder response (the real fields are id, asset_id, source, reason, severity, status, created_at). The bug wasn't a crash — it was a component that ran without errors but never showed the one thing the spec actually needed: which work orders came from the Energy Agent's cross-agent handoff (source == "energy_agent"). That was only caught by diffing the actual backend response shape against the component's field access, not by looking at the rendered UI. That's a genuinely useful thing to say in a viva about how you verify integration correctness, not just visual correctness.</w:t>
      </w:r>
    </w:p>
    <w:p>
      <w:pPr>
        <w:pStyle w:val="Heading2"/>
        <w:spacing w:after="120" w:before="280"/>
      </w:pPr>
      <w:r>
        <w:t xml:space="preserve">4.3 Team division of labour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400"/>
      </w:tblGrid>
      <w:tr>
        <w:tc>
          <w:tcPr>
            <w:tcW w:type="dxa" w:w="2200"/>
            <w:shd w:fill="1E293B" w:color="auto" w:val="clear"/>
            <w:tcMar>
              <w:top w:type="dxa" w:w="80"/>
              <w:left w:type="dxa" w:w="120"/>
              <w:bottom w:type="dxa" w:w="80"/>
              <w:right w:type="dxa" w:w="120"/>
            </w:tcMar>
          </w:tcPr>
          <w:p>
            <w:r>
              <w:rPr>
                <w:b/>
                <w:bCs/>
                <w:color w:val="FFFFFF"/>
                <w:sz w:val="19"/>
                <w:szCs w:val="19"/>
              </w:rPr>
              <w:t xml:space="preserve">Person</w:t>
            </w:r>
          </w:p>
        </w:tc>
        <w:tc>
          <w:tcPr>
            <w:tcW w:type="dxa" w:w="2200"/>
            <w:shd w:fill="1E293B" w:color="auto" w:val="clear"/>
            <w:tcMar>
              <w:top w:type="dxa" w:w="80"/>
              <w:left w:type="dxa" w:w="120"/>
              <w:bottom w:type="dxa" w:w="80"/>
              <w:right w:type="dxa" w:w="120"/>
            </w:tcMar>
          </w:tcPr>
          <w:p>
            <w:r>
              <w:rPr>
                <w:b/>
                <w:bCs/>
                <w:color w:val="FFFFFF"/>
                <w:sz w:val="19"/>
                <w:szCs w:val="19"/>
              </w:rPr>
              <w:t xml:space="preserve">Role</w:t>
            </w:r>
          </w:p>
        </w:tc>
        <w:tc>
          <w:tcPr>
            <w:tcW w:type="dxa" w:w="5400"/>
            <w:shd w:fill="1E293B" w:color="auto" w:val="clear"/>
            <w:tcMar>
              <w:top w:type="dxa" w:w="80"/>
              <w:left w:type="dxa" w:w="120"/>
              <w:bottom w:type="dxa" w:w="80"/>
              <w:right w:type="dxa" w:w="120"/>
            </w:tcMar>
          </w:tcPr>
          <w:p>
            <w:r>
              <w:rPr>
                <w:b/>
                <w:bCs/>
                <w:color w:val="FFFFFF"/>
                <w:sz w:val="19"/>
                <w:szCs w:val="19"/>
              </w:rPr>
              <w:t xml:space="preserve">What they actually delivered</w:t>
            </w:r>
          </w:p>
        </w:tc>
      </w:tr>
      <w:tr>
        <w:tc>
          <w:tcPr>
            <w:tcW w:type="dxa" w:w="2200"/>
            <w:tcMar>
              <w:top w:type="dxa" w:w="80"/>
              <w:left w:type="dxa" w:w="120"/>
              <w:bottom w:type="dxa" w:w="80"/>
              <w:right w:type="dxa" w:w="120"/>
            </w:tcMar>
          </w:tcPr>
          <w:p>
            <w:r>
              <w:rPr>
                <w:b w:val="false"/>
                <w:bCs w:val="false"/>
                <w:color w:val="000000"/>
                <w:sz w:val="19"/>
                <w:szCs w:val="19"/>
              </w:rPr>
              <w:t xml:space="preserve">Aryan Goswami (you)</w:t>
            </w:r>
          </w:p>
        </w:tc>
        <w:tc>
          <w:tcPr>
            <w:tcW w:type="dxa" w:w="2200"/>
            <w:tcMar>
              <w:top w:type="dxa" w:w="80"/>
              <w:left w:type="dxa" w:w="120"/>
              <w:bottom w:type="dxa" w:w="80"/>
              <w:right w:type="dxa" w:w="120"/>
            </w:tcMar>
          </w:tcPr>
          <w:p>
            <w:r>
              <w:rPr>
                <w:b w:val="false"/>
                <w:bCs w:val="false"/>
                <w:color w:val="000000"/>
                <w:sz w:val="19"/>
                <w:szCs w:val="19"/>
              </w:rPr>
              <w:t xml:space="preserve">Architecture, ML pipeline, agentic AI layer, backend–frontend integration, QA</w:t>
            </w:r>
          </w:p>
        </w:tc>
        <w:tc>
          <w:tcPr>
            <w:tcW w:type="dxa" w:w="5400"/>
            <w:tcMar>
              <w:top w:type="dxa" w:w="80"/>
              <w:left w:type="dxa" w:w="120"/>
              <w:bottom w:type="dxa" w:w="80"/>
              <w:right w:type="dxa" w:w="120"/>
            </w:tcMar>
          </w:tcPr>
          <w:p>
            <w:r>
              <w:rPr>
                <w:b w:val="false"/>
                <w:bCs w:val="false"/>
                <w:color w:val="000000"/>
                <w:sz w:val="19"/>
                <w:szCs w:val="19"/>
              </w:rPr>
              <w:t xml:space="preserve">Both agents' analyze/recommend/run implementations, all ML training scripts and honest metric reporting, the agentic tool-calling layer for both agents, the cross-agent handoff, and final integration/bug-fixing across teammates' contributions</w:t>
            </w:r>
          </w:p>
        </w:tc>
      </w:tr>
      <w:tr>
        <w:tc>
          <w:tcPr>
            <w:tcW w:type="dxa" w:w="2200"/>
            <w:tcMar>
              <w:top w:type="dxa" w:w="80"/>
              <w:left w:type="dxa" w:w="120"/>
              <w:bottom w:type="dxa" w:w="80"/>
              <w:right w:type="dxa" w:w="120"/>
            </w:tcMar>
          </w:tcPr>
          <w:p>
            <w:r>
              <w:rPr>
                <w:b w:val="false"/>
                <w:bCs w:val="false"/>
                <w:color w:val="000000"/>
                <w:sz w:val="19"/>
                <w:szCs w:val="19"/>
              </w:rPr>
              <w:t xml:space="preserve">Dharshna</w:t>
            </w:r>
          </w:p>
        </w:tc>
        <w:tc>
          <w:tcPr>
            <w:tcW w:type="dxa" w:w="2200"/>
            <w:tcMar>
              <w:top w:type="dxa" w:w="80"/>
              <w:left w:type="dxa" w:w="120"/>
              <w:bottom w:type="dxa" w:w="80"/>
              <w:right w:type="dxa" w:w="120"/>
            </w:tcMar>
          </w:tcPr>
          <w:p>
            <w:r>
              <w:rPr>
                <w:b w:val="false"/>
                <w:bCs w:val="false"/>
                <w:color w:val="000000"/>
                <w:sz w:val="19"/>
                <w:szCs w:val="19"/>
              </w:rPr>
              <w:t xml:space="preserve">Frontend &amp; Dashboard UI</w:t>
            </w:r>
          </w:p>
        </w:tc>
        <w:tc>
          <w:tcPr>
            <w:tcW w:type="dxa" w:w="5400"/>
            <w:tcMar>
              <w:top w:type="dxa" w:w="80"/>
              <w:left w:type="dxa" w:w="120"/>
              <w:bottom w:type="dxa" w:w="80"/>
              <w:right w:type="dxa" w:w="120"/>
            </w:tcMar>
          </w:tcPr>
          <w:p>
            <w:r>
              <w:rPr>
                <w:b w:val="false"/>
                <w:bCs w:val="false"/>
                <w:color w:val="000000"/>
                <w:sz w:val="19"/>
                <w:szCs w:val="19"/>
              </w:rPr>
              <w:t xml:space="preserve">Component implementations for the Maintenance dashboard (KPI cards, Fleet Health Radar, Asset Table, Alerts, Work Orders panel) against the design system and API contract you defined</w:t>
            </w:r>
          </w:p>
        </w:tc>
      </w:tr>
      <w:tr>
        <w:tc>
          <w:tcPr>
            <w:tcW w:type="dxa" w:w="2200"/>
            <w:tcMar>
              <w:top w:type="dxa" w:w="80"/>
              <w:left w:type="dxa" w:w="120"/>
              <w:bottom w:type="dxa" w:w="80"/>
              <w:right w:type="dxa" w:w="120"/>
            </w:tcMar>
          </w:tcPr>
          <w:p>
            <w:r>
              <w:rPr>
                <w:b w:val="false"/>
                <w:bCs w:val="false"/>
                <w:color w:val="000000"/>
                <w:sz w:val="19"/>
                <w:szCs w:val="19"/>
              </w:rPr>
              <w:t xml:space="preserve">Ramya Sri</w:t>
            </w:r>
          </w:p>
        </w:tc>
        <w:tc>
          <w:tcPr>
            <w:tcW w:type="dxa" w:w="2200"/>
            <w:tcMar>
              <w:top w:type="dxa" w:w="80"/>
              <w:left w:type="dxa" w:w="120"/>
              <w:bottom w:type="dxa" w:w="80"/>
              <w:right w:type="dxa" w:w="120"/>
            </w:tcMar>
          </w:tcPr>
          <w:p>
            <w:r>
              <w:rPr>
                <w:b w:val="false"/>
                <w:bCs w:val="false"/>
                <w:color w:val="000000"/>
                <w:sz w:val="19"/>
                <w:szCs w:val="19"/>
              </w:rPr>
              <w:t xml:space="preserve">Data pipeline, analytics engine, testing, documentation</w:t>
            </w:r>
          </w:p>
        </w:tc>
        <w:tc>
          <w:tcPr>
            <w:tcW w:type="dxa" w:w="5400"/>
            <w:tcMar>
              <w:top w:type="dxa" w:w="80"/>
              <w:left w:type="dxa" w:w="120"/>
              <w:bottom w:type="dxa" w:w="80"/>
              <w:right w:type="dxa" w:w="120"/>
            </w:tcMar>
          </w:tcPr>
          <w:p>
            <w:r>
              <w:rPr>
                <w:b w:val="false"/>
                <w:bCs w:val="false"/>
                <w:color w:val="000000"/>
                <w:sz w:val="19"/>
                <w:szCs w:val="19"/>
              </w:rPr>
              <w:t xml:space="preserve">Dataset preprocessing verification, test execution, and the Milestone 2 process report / README documentation pass</w:t>
            </w:r>
          </w:p>
        </w:tc>
      </w:tr>
    </w:tbl>
    <w:p>
      <w:pPr>
        <w:pBdr>
          <w:left w:val="single" w:color="0D9488" w:sz="12" w:space="8"/>
        </w:pBdr>
        <w:spacing w:after="180" w:before="60"/>
        <w:ind w:left="200"/>
      </w:pPr>
      <w:r>
        <w:rPr>
          <w:i/>
          <w:iCs/>
          <w:color w:val="555555"/>
        </w:rPr>
        <w:t xml:space="preserve">Being able to name specific, true contributions per teammate — not just “we all worked on it together” — reads as far more credible in a viva.</w:t>
      </w:r>
    </w:p>
    <w:p>
      <w:pPr>
        <w:pStyle w:val="Heading2"/>
        <w:spacing w:after="120" w:before="280"/>
      </w:pPr>
      <w:r>
        <w:t xml:space="preserve">4.4 Why this counts as your work</w:t>
      </w:r>
    </w:p>
    <w:p>
      <w:pPr>
        <w:spacing w:after="140"/>
      </w:pPr>
      <w:r>
        <w:t xml:space="preserve">Using an AI assistant to generate code is a tool, the same way a calculator is a tool in a numerical methods course — what makes it your work is that every architectural decision, every dataset choice, every accuracy number, and every bug fix in this document was something you understood, verified, and could defend, not something you accepted blindly. If a professor asks “did you use AI to build this,” the honest and defensible answer is: yes, as a code-generation and debugging tool, under your direction, with every result verified by you — which is a materially different claim from “AI built this for me.”</w:t>
      </w:r>
    </w:p>
    <w:p>
      <w:pPr>
        <w:pStyle w:val="Heading1"/>
        <w:spacing w:after="160" w:before="400"/>
      </w:pPr>
      <w:r>
        <w:t xml:space="preserve">5. Where the Datasets Came From and How They Were Integrated</w:t>
      </w:r>
    </w:p>
    <w:p>
      <w:pPr>
        <w:pStyle w:val="Heading2"/>
        <w:spacing w:after="120" w:before="280"/>
      </w:pPr>
      <w:r>
        <w:t xml:space="preserve">5.1 Milestone 1 — Energy dataset</w:t>
      </w:r>
    </w:p>
    <w:p>
      <w:pPr>
        <w:spacing w:after="140"/>
      </w:pPr>
      <w:r>
        <w:t xml:space="preserve">Built by merging three independent real public datasets onto one shared 15-minute timeline (35,040 rows / 365 days), because no single free dataset had power + weather + occupancy already recorded together for one building: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00"/>
      </w:tblGrid>
      <w:tr>
        <w:tc>
          <w:tcPr>
            <w:tcW w:type="dxa" w:w="2000"/>
            <w:shd w:fill="1E293B" w:color="auto" w:val="clear"/>
            <w:tcMar>
              <w:top w:type="dxa" w:w="80"/>
              <w:left w:type="dxa" w:w="120"/>
              <w:bottom w:type="dxa" w:w="80"/>
              <w:right w:type="dxa" w:w="120"/>
            </w:tcMar>
          </w:tcPr>
          <w:p>
            <w:r>
              <w:rPr>
                <w:b/>
                <w:bCs/>
                <w:color w:val="FFFFFF"/>
                <w:sz w:val="19"/>
                <w:szCs w:val="19"/>
              </w:rPr>
              <w:t xml:space="preserve">Signal</w:t>
            </w:r>
          </w:p>
        </w:tc>
        <w:tc>
          <w:tcPr>
            <w:tcW w:type="dxa" w:w="3600"/>
            <w:shd w:fill="1E293B" w:color="auto" w:val="clear"/>
            <w:tcMar>
              <w:top w:type="dxa" w:w="80"/>
              <w:left w:type="dxa" w:w="120"/>
              <w:bottom w:type="dxa" w:w="80"/>
              <w:right w:type="dxa" w:w="120"/>
            </w:tcMar>
          </w:tcPr>
          <w:p>
            <w:r>
              <w:rPr>
                <w:b/>
                <w:bCs/>
                <w:color w:val="FFFFFF"/>
                <w:sz w:val="19"/>
                <w:szCs w:val="19"/>
              </w:rPr>
              <w:t xml:space="preserve">Real source</w:t>
            </w:r>
          </w:p>
        </w:tc>
        <w:tc>
          <w:tcPr>
            <w:tcW w:type="dxa" w:w="4200"/>
            <w:shd w:fill="1E293B" w:color="auto" w:val="clear"/>
            <w:tcMar>
              <w:top w:type="dxa" w:w="80"/>
              <w:left w:type="dxa" w:w="120"/>
              <w:bottom w:type="dxa" w:w="80"/>
              <w:right w:type="dxa" w:w="120"/>
            </w:tcMar>
          </w:tcPr>
          <w:p>
            <w:r>
              <w:rPr>
                <w:b/>
                <w:bCs/>
                <w:color w:val="FFFFFF"/>
                <w:sz w:val="19"/>
                <w:szCs w:val="19"/>
              </w:rPr>
              <w:t xml:space="preserve">What was done to it</w:t>
            </w:r>
          </w:p>
        </w:tc>
      </w:tr>
      <w:tr>
        <w:tc>
          <w:tcPr>
            <w:tcW w:type="dxa" w:w="2000"/>
            <w:tcMar>
              <w:top w:type="dxa" w:w="80"/>
              <w:left w:type="dxa" w:w="120"/>
              <w:bottom w:type="dxa" w:w="80"/>
              <w:right w:type="dxa" w:w="120"/>
            </w:tcMar>
          </w:tcPr>
          <w:p>
            <w:r>
              <w:rPr>
                <w:b w:val="false"/>
                <w:bCs w:val="false"/>
                <w:color w:val="000000"/>
                <w:sz w:val="19"/>
                <w:szCs w:val="19"/>
              </w:rPr>
              <w:t xml:space="preserve">Power consumption</w:t>
            </w:r>
          </w:p>
        </w:tc>
        <w:tc>
          <w:tcPr>
            <w:tcW w:type="dxa" w:w="3600"/>
            <w:tcMar>
              <w:top w:type="dxa" w:w="80"/>
              <w:left w:type="dxa" w:w="120"/>
              <w:bottom w:type="dxa" w:w="80"/>
              <w:right w:type="dxa" w:w="120"/>
            </w:tcMar>
          </w:tcPr>
          <w:p>
            <w:r>
              <w:rPr>
                <w:b w:val="false"/>
                <w:bCs w:val="false"/>
                <w:color w:val="000000"/>
                <w:sz w:val="19"/>
                <w:szCs w:val="19"/>
              </w:rPr>
              <w:t xml:space="preserve">PJM Interconnection hourly grid load (2002–2018)</w:t>
            </w:r>
          </w:p>
        </w:tc>
        <w:tc>
          <w:tcPr>
            <w:tcW w:type="dxa" w:w="4200"/>
            <w:tcMar>
              <w:top w:type="dxa" w:w="80"/>
              <w:left w:type="dxa" w:w="120"/>
              <w:bottom w:type="dxa" w:w="80"/>
              <w:right w:type="dxa" w:w="120"/>
            </w:tcMar>
          </w:tcPr>
          <w:p>
            <w:r>
              <w:rPr>
                <w:b w:val="false"/>
                <w:bCs w:val="false"/>
                <w:color w:val="000000"/>
                <w:sz w:val="19"/>
                <w:szCs w:val="19"/>
              </w:rPr>
              <w:t xml:space="preserve">Rescaled from grid megawatts to a single facility's kWh; real diurnal/weekly/seasonal shape preserved</w:t>
            </w:r>
          </w:p>
        </w:tc>
      </w:tr>
      <w:tr>
        <w:tc>
          <w:tcPr>
            <w:tcW w:type="dxa" w:w="2000"/>
            <w:tcMar>
              <w:top w:type="dxa" w:w="80"/>
              <w:left w:type="dxa" w:w="120"/>
              <w:bottom w:type="dxa" w:w="80"/>
              <w:right w:type="dxa" w:w="120"/>
            </w:tcMar>
          </w:tcPr>
          <w:p>
            <w:r>
              <w:rPr>
                <w:b w:val="false"/>
                <w:bCs w:val="false"/>
                <w:color w:val="000000"/>
                <w:sz w:val="19"/>
                <w:szCs w:val="19"/>
              </w:rPr>
              <w:t xml:space="preserve">Outdoor temperature</w:t>
            </w:r>
          </w:p>
        </w:tc>
        <w:tc>
          <w:tcPr>
            <w:tcW w:type="dxa" w:w="3600"/>
            <w:tcMar>
              <w:top w:type="dxa" w:w="80"/>
              <w:left w:type="dxa" w:w="120"/>
              <w:bottom w:type="dxa" w:w="80"/>
              <w:right w:type="dxa" w:w="120"/>
            </w:tcMar>
          </w:tcPr>
          <w:p>
            <w:r>
              <w:rPr>
                <w:b w:val="false"/>
                <w:bCs w:val="false"/>
                <w:color w:val="000000"/>
                <w:sz w:val="19"/>
                <w:szCs w:val="19"/>
              </w:rPr>
              <w:t xml:space="preserve">Environment Canada hourly weather station data (2012)</w:t>
            </w:r>
          </w:p>
        </w:tc>
        <w:tc>
          <w:tcPr>
            <w:tcW w:type="dxa" w:w="4200"/>
            <w:tcMar>
              <w:top w:type="dxa" w:w="80"/>
              <w:left w:type="dxa" w:w="120"/>
              <w:bottom w:type="dxa" w:w="80"/>
              <w:right w:type="dxa" w:w="120"/>
            </w:tcMar>
          </w:tcPr>
          <w:p>
            <w:r>
              <w:rPr>
                <w:b w:val="false"/>
                <w:bCs w:val="false"/>
                <w:color w:val="000000"/>
                <w:sz w:val="19"/>
                <w:szCs w:val="19"/>
              </w:rPr>
              <w:t xml:space="preserve">Real recorded temperatures, upsampled from hourly to 15-minute resolution</w:t>
            </w:r>
          </w:p>
        </w:tc>
      </w:tr>
      <w:tr>
        <w:tc>
          <w:tcPr>
            <w:tcW w:type="dxa" w:w="2000"/>
            <w:tcMar>
              <w:top w:type="dxa" w:w="80"/>
              <w:left w:type="dxa" w:w="120"/>
              <w:bottom w:type="dxa" w:w="80"/>
              <w:right w:type="dxa" w:w="120"/>
            </w:tcMar>
          </w:tcPr>
          <w:p>
            <w:r>
              <w:rPr>
                <w:b w:val="false"/>
                <w:bCs w:val="false"/>
                <w:color w:val="000000"/>
                <w:sz w:val="19"/>
                <w:szCs w:val="19"/>
              </w:rPr>
              <w:t xml:space="preserve">Occupancy</w:t>
            </w:r>
          </w:p>
        </w:tc>
        <w:tc>
          <w:tcPr>
            <w:tcW w:type="dxa" w:w="3600"/>
            <w:tcMar>
              <w:top w:type="dxa" w:w="80"/>
              <w:left w:type="dxa" w:w="120"/>
              <w:bottom w:type="dxa" w:w="80"/>
              <w:right w:type="dxa" w:w="120"/>
            </w:tcMar>
          </w:tcPr>
          <w:p>
            <w:r>
              <w:rPr>
                <w:b w:val="false"/>
                <w:bCs w:val="false"/>
                <w:color w:val="000000"/>
                <w:sz w:val="19"/>
                <w:szCs w:val="19"/>
              </w:rPr>
              <w:t xml:space="preserve">UCI “Occupancy Detection” dataset (Candanedo, 2016)</w:t>
            </w:r>
          </w:p>
        </w:tc>
        <w:tc>
          <w:tcPr>
            <w:tcW w:type="dxa" w:w="4200"/>
            <w:tcMar>
              <w:top w:type="dxa" w:w="80"/>
              <w:left w:type="dxa" w:w="120"/>
              <w:bottom w:type="dxa" w:w="80"/>
              <w:right w:type="dxa" w:w="120"/>
            </w:tcMar>
          </w:tcPr>
          <w:p>
            <w:r>
              <w:rPr>
                <w:b w:val="false"/>
                <w:bCs w:val="false"/>
                <w:color w:val="000000"/>
                <w:sz w:val="19"/>
                <w:szCs w:val="19"/>
              </w:rPr>
              <w:t xml:space="preserve">Real minute-level office sensor data; the real weekday/weekend occupied-fraction pattern is tiled across the year and converted to a small headcount</w:t>
            </w:r>
          </w:p>
        </w:tc>
      </w:tr>
    </w:tbl>
    <w:p>
      <w:pPr>
        <w:spacing w:after="140"/>
      </w:pPr>
      <w:r>
        <w:t xml:space="preserve">Honest caveat (say this if asked “is this real data?”): each signal's shape, cycles, and noise are genuinely real, but the three datasets don't share an actual overlapping recording period or building — they're stitched onto one timeline, not one continuous real recording. Submeter shares (HVAC 40% / Lighting 20% / Plug 25% / Other 15%) are derived from the real total using standard commercial building load-share ratios, not independently measured. This is disclosed in build_dataset.py and the README rather than hidden.</w:t>
      </w:r>
    </w:p>
    <w:p>
      <w:pPr>
        <w:spacing w:after="140"/>
      </w:pPr>
      <w:r>
        <w:t xml:space="preserve">Integration: backend/data/build_dataset.py downloads/loads all three, aligns them on a shared timestamp index, applies the submeter split, and writes backend/data/raw/energy_readings_raw.csv, which POST /api/energy/ingest loads into SQLite on first startup.</w:t>
      </w:r>
    </w:p>
    <w:p>
      <w:pPr>
        <w:pStyle w:val="Heading2"/>
        <w:spacing w:after="120" w:before="280"/>
      </w:pPr>
      <w:r>
        <w:t xml:space="preserve">5.2 Milestone 2 — Maintenance dataset</w:t>
      </w:r>
    </w:p>
    <w:p>
      <w:pPr>
        <w:spacing w:after="140"/>
      </w:pPr>
      <w:r>
        <w:t xml:space="preserve">NASA C-MAPSS Turbofan Engine Degradation Simulation, FD001 subset (Saxena &amp; Goebel, 2008), obtained via the GitHub mirror github.com/edwardzjl/CMAPSSData. Chosen over Kaggle predictive-maintenance datasets because: it's an internationally recognized benchmark with complete degradation trajectories run to actual failure, it supports genuine Remaining Useful Life regression (many Kaggle sets only have binary failure labels), and it's directly fetchable without a Kaggle account/API key.</w:t>
      </w:r>
    </w:p>
    <w:p>
      <w:pPr>
        <w:spacing w:after="140"/>
      </w:pPr>
      <w:r>
        <w:t xml:space="preserve">100 engines used for training (each with a full run-to-failure sensor history, 128–362 cycles), plus NASA's own official held-out test set of 100 more engines with a separate answer key (RUL_FD001.txt).</w:t>
      </w:r>
    </w:p>
    <w:p>
      <w:pPr>
        <w:spacing w:after="140"/>
      </w:pPr>
      <w:r>
        <w:t xml:space="preserve">Honest caveat: the sensor values and their degradation patterns are 100% real physical measurements from real engines run to real failure. The names were changed — e.g. NASA's “sensor 11” (HPC outlet static pressure) is relabeled vibration_index and assigned to a fictional facility asset like Chiller-042 instead of “Engine unit 42.” This is defensible specifically because there is no free, high-quality, sensor-level run-to-failure dataset for real facility HVAC/pump equipment publicly available — what matters for the ML task is that the sensors show real degradation patterns as a machine approaches failure, which NASA's data genuinely provides.</w:t>
      </w:r>
    </w:p>
    <w:p>
      <w:pPr>
        <w:spacing w:after="140"/>
      </w:pPr>
      <w:r>
        <w:t xml:space="preserve">Integration: backend/data/build_maintenance_dataset.py reads the raw NASA text files, relabels the 8 sensor channels that actually vary in FD001, maps engine units onto a synthetic facility asset fleet, and writes the data POST /maintenance/ingest loads into the database.</w:t>
      </w:r>
    </w:p>
    <w:p>
      <w:pPr>
        <w:pStyle w:val="Heading1"/>
        <w:spacing w:after="160" w:before="400"/>
      </w:pPr>
      <w:r>
        <w:t xml:space="preserve">6. Design Rationale</w:t>
      </w:r>
    </w:p>
    <w:p>
      <w:pPr>
        <w:pStyle w:val="Heading2"/>
        <w:spacing w:after="120" w:before="280"/>
      </w:pPr>
      <w:r>
        <w:t xml:space="preserve">6.1 Why a dark graphite + teal + navy base theme</w:t>
      </w:r>
    </w:p>
    <w:p>
      <w:pPr>
        <w:spacing w:after="140"/>
      </w:pPr>
      <w:r>
        <w:t xml:space="preserve">The base palette (graphite #0a0b0d background, teal #2DD4BF primary accent, navy #1e3a5f secondary) was chosen to read as an operations/monitoring console — the visual language of tools like Grafana or a SCADA dashboard — rather than a generic consumer SaaS product, because that's genuinely the category this project is in: a facility operator watching live equipment and energy state, not a marketing site. Space Grotesk (display) + Inter (body) + JetBrains Mono (data/labels) was chosen so numeric data and status labels are visually distinct from prose — the monospace face signals “this is a reading/metric” the same way it does in a terminal, without needing extra explanatory text.</w:t>
      </w:r>
    </w:p>
    <w:p>
      <w:pPr>
        <w:pStyle w:val="Heading2"/>
        <w:spacing w:after="120" w:before="280"/>
      </w:pPr>
      <w:r>
        <w:t xml:space="preserve">6.2 Why the palette and “liveness” were expanded in this pass</w:t>
      </w:r>
    </w:p>
    <w:p>
      <w:pPr>
        <w:spacing w:after="140"/>
      </w:pPr>
      <w:r>
        <w:t xml:space="preserve">The original build used only teal/amber/red as status colors, which is defensible but reads as flat when everything from a KPI card to a status badge uses the same one or two accents regardless of what it means. This pass introduced a consistent 4-tier semantic color system — emerald (Excellent), teal (Good), amber (Warning), rose (Critical) — applied identically across the Fleet Health Radar, the Asset Table, and status badges, plus distinct accent colors per KPI category (blue for volume/count metrics, violet for rate/trend metrics, emerald for health, amber for warnings, rose for critical counts) and a per-module nav accent (blue for Energy, teal for Maintenance) so color now carries real information — you can tell what a number means from its color alone, in line with the same design system, not a re-skin of it.</w:t>
      </w:r>
    </w:p>
    <w:p>
      <w:pPr>
        <w:spacing w:after="140"/>
      </w:pPr>
      <w:r>
        <w:t xml:space="preserve">The dashboard also previously displayed a static “LIVE” badge that never changed after the initial page load — true on mount, misleading five minutes later. This pass added real silent background polling (every 30 seconds, via a LiveIndicator component) with a genuine self-updating “updated Xs ago” timestamp and a manual refresh button, so “LIVE” is now an accurate claim about the dashboard's behaviour, not a decorative label.</w:t>
      </w:r>
    </w:p>
    <w:p>
      <w:pPr>
        <w:pStyle w:val="Heading2"/>
        <w:spacing w:after="120" w:before="280"/>
      </w:pPr>
      <w:r>
        <w:t xml:space="preserve">6.3 Why the Fleet Health Radar is hand-built SVG</w:t>
      </w:r>
    </w:p>
    <w:p>
      <w:pPr>
        <w:spacing w:after="140"/>
      </w:pPr>
      <w:r>
        <w:t xml:space="preserve">No off-the-shelf chart library draws “assets placed on a circle, positioned by angle for identity and distance-from-center for health score, colored by status” directly — it's a genuinely custom layout, so it's raw SVG driven by React state (hover handling, tooltip positioning) rather than forced into Recharts' standard chart types, which are all Cartesian (bar/line/scatter), not radial-by-arbitrary-metric.</w:t>
      </w:r>
    </w:p>
    <w:p>
      <w:pPr>
        <w:pStyle w:val="Heading1"/>
        <w:spacing w:after="160" w:before="400"/>
      </w:pPr>
      <w:r>
        <w:t xml:space="preserve">7. Submilestone Coverage Checklist</w:t>
      </w:r>
    </w:p>
    <w:p>
      <w:pPr>
        <w:pStyle w:val="Heading2"/>
        <w:spacing w:after="120" w:before="280"/>
      </w:pPr>
      <w:r>
        <w:t xml:space="preserve">7.1 Milestone 1 — Energy Intelligence &amp; Monitoring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800"/>
      </w:tblGrid>
      <w:tr>
        <w:tc>
          <w:tcPr>
            <w:tcW w:type="dxa" w:w="3800"/>
            <w:shd w:fill="1E293B" w:color="auto" w:val="clear"/>
            <w:tcMar>
              <w:top w:type="dxa" w:w="80"/>
              <w:left w:type="dxa" w:w="120"/>
              <w:bottom w:type="dxa" w:w="80"/>
              <w:right w:type="dxa" w:w="120"/>
            </w:tcMar>
          </w:tcPr>
          <w:p>
            <w:r>
              <w:rPr>
                <w:b/>
                <w:bCs/>
                <w:color w:val="FFFFFF"/>
                <w:sz w:val="19"/>
                <w:szCs w:val="19"/>
              </w:rPr>
              <w:t xml:space="preserve">Requirement</w:t>
            </w:r>
          </w:p>
        </w:tc>
        <w:tc>
          <w:tcPr>
            <w:tcW w:type="dxa" w:w="1200"/>
            <w:shd w:fill="1E293B" w:color="auto" w:val="clear"/>
            <w:tcMar>
              <w:top w:type="dxa" w:w="80"/>
              <w:left w:type="dxa" w:w="120"/>
              <w:bottom w:type="dxa" w:w="80"/>
              <w:right w:type="dxa" w:w="120"/>
            </w:tcMar>
          </w:tcPr>
          <w:p>
            <w:r>
              <w:rPr>
                <w:b/>
                <w:bCs/>
                <w:color w:val="FFFFFF"/>
                <w:sz w:val="19"/>
                <w:szCs w:val="19"/>
              </w:rPr>
              <w:t xml:space="preserve">Covered?</w:t>
            </w:r>
          </w:p>
        </w:tc>
        <w:tc>
          <w:tcPr>
            <w:tcW w:type="dxa" w:w="4800"/>
            <w:shd w:fill="1E293B" w:color="auto" w:val="clear"/>
            <w:tcMar>
              <w:top w:type="dxa" w:w="80"/>
              <w:left w:type="dxa" w:w="120"/>
              <w:bottom w:type="dxa" w:w="80"/>
              <w:right w:type="dxa" w:w="120"/>
            </w:tcMar>
          </w:tcPr>
          <w:p>
            <w:r>
              <w:rPr>
                <w:b/>
                <w:bCs/>
                <w:color w:val="FFFFFF"/>
                <w:sz w:val="19"/>
                <w:szCs w:val="19"/>
              </w:rPr>
              <w:t xml:space="preserve">Where</w:t>
            </w:r>
          </w:p>
        </w:tc>
      </w:tr>
      <w:tr>
        <w:tc>
          <w:tcPr>
            <w:tcW w:type="dxa" w:w="3800"/>
            <w:tcMar>
              <w:top w:type="dxa" w:w="80"/>
              <w:left w:type="dxa" w:w="120"/>
              <w:bottom w:type="dxa" w:w="80"/>
              <w:right w:type="dxa" w:w="120"/>
            </w:tcMar>
          </w:tcPr>
          <w:p>
            <w:r>
              <w:rPr>
                <w:b w:val="false"/>
                <w:bCs w:val="false"/>
                <w:color w:val="000000"/>
                <w:sz w:val="19"/>
                <w:szCs w:val="19"/>
              </w:rPr>
              <w:t xml:space="preserve">Integrate utility and IoT data</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data_service.py (ingest_from_csv, .csv/.xlsx upload) + data/build_dataset.py</w:t>
            </w:r>
          </w:p>
        </w:tc>
      </w:tr>
      <w:tr>
        <w:tc>
          <w:tcPr>
            <w:tcW w:type="dxa" w:w="3800"/>
            <w:tcMar>
              <w:top w:type="dxa" w:w="80"/>
              <w:left w:type="dxa" w:w="120"/>
              <w:bottom w:type="dxa" w:w="80"/>
              <w:right w:type="dxa" w:w="120"/>
            </w:tcMar>
          </w:tcPr>
          <w:p>
            <w:r>
              <w:rPr>
                <w:b w:val="false"/>
                <w:bCs w:val="false"/>
                <w:color w:val="000000"/>
                <w:sz w:val="19"/>
                <w:szCs w:val="19"/>
              </w:rPr>
              <w:t xml:space="preserve">Build Energy Agent</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app/agents/energy_agent.py</w:t>
            </w:r>
          </w:p>
        </w:tc>
      </w:tr>
      <w:tr>
        <w:tc>
          <w:tcPr>
            <w:tcW w:type="dxa" w:w="3800"/>
            <w:tcMar>
              <w:top w:type="dxa" w:w="80"/>
              <w:left w:type="dxa" w:w="120"/>
              <w:bottom w:type="dxa" w:w="80"/>
              <w:right w:type="dxa" w:w="120"/>
            </w:tcMar>
          </w:tcPr>
          <w:p>
            <w:r>
              <w:rPr>
                <w:b w:val="false"/>
                <w:bCs w:val="false"/>
                <w:color w:val="000000"/>
                <w:sz w:val="19"/>
                <w:szCs w:val="19"/>
              </w:rPr>
              <w:t xml:space="preserve">Develop energy consumption analytics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app/utils/energy_analytics.py</w:t>
            </w:r>
          </w:p>
        </w:tc>
      </w:tr>
      <w:tr>
        <w:tc>
          <w:tcPr>
            <w:tcW w:type="dxa" w:w="3800"/>
            <w:tcMar>
              <w:top w:type="dxa" w:w="80"/>
              <w:left w:type="dxa" w:w="120"/>
              <w:bottom w:type="dxa" w:w="80"/>
              <w:right w:type="dxa" w:w="120"/>
            </w:tcMar>
          </w:tcPr>
          <w:p>
            <w:r>
              <w:rPr>
                <w:b w:val="false"/>
                <w:bCs w:val="false"/>
                <w:color w:val="000000"/>
                <w:sz w:val="19"/>
                <w:szCs w:val="19"/>
              </w:rPr>
              <w:t xml:space="preserve">Create energy monitoring dashboard</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EnergyDashboardPage.jsx + GET /api/energy/dashboard</w:t>
            </w:r>
          </w:p>
        </w:tc>
      </w:tr>
      <w:tr>
        <w:tc>
          <w:tcPr>
            <w:tcW w:type="dxa" w:w="3800"/>
            <w:tcMar>
              <w:top w:type="dxa" w:w="80"/>
              <w:left w:type="dxa" w:w="120"/>
              <w:bottom w:type="dxa" w:w="80"/>
              <w:right w:type="dxa" w:w="120"/>
            </w:tcMar>
          </w:tcPr>
          <w:p>
            <w:r>
              <w:rPr>
                <w:b w:val="false"/>
                <w:bCs w:val="false"/>
                <w:color w:val="000000"/>
                <w:sz w:val="19"/>
                <w:szCs w:val="19"/>
              </w:rPr>
              <w:t xml:space="preserve">Generate efficiency recommendations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EnergyAgent.recommend() — 7 rule-based checks</w:t>
            </w:r>
          </w:p>
        </w:tc>
      </w:tr>
      <w:tr>
        <w:tc>
          <w:tcPr>
            <w:tcW w:type="dxa" w:w="3800"/>
            <w:tcMar>
              <w:top w:type="dxa" w:w="80"/>
              <w:left w:type="dxa" w:w="120"/>
              <w:bottom w:type="dxa" w:w="80"/>
              <w:right w:type="dxa" w:w="120"/>
            </w:tcMar>
          </w:tcPr>
          <w:p>
            <w:r>
              <w:rPr>
                <w:b w:val="false"/>
                <w:bCs w:val="false"/>
                <w:color w:val="000000"/>
                <w:sz w:val="19"/>
                <w:szCs w:val="19"/>
              </w:rPr>
              <w:t xml:space="preserve">Real ML component (not just rules)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3 separate trained forecast models (1h/6h/24h), evaluated vs. naive baselines</w:t>
            </w:r>
          </w:p>
        </w:tc>
      </w:tr>
      <w:tr>
        <w:tc>
          <w:tcPr>
            <w:tcW w:type="dxa" w:w="3800"/>
            <w:tcMar>
              <w:top w:type="dxa" w:w="80"/>
              <w:left w:type="dxa" w:w="120"/>
              <w:bottom w:type="dxa" w:w="80"/>
              <w:right w:type="dxa" w:w="120"/>
            </w:tcMar>
          </w:tcPr>
          <w:p>
            <w:r>
              <w:rPr>
                <w:b w:val="false"/>
                <w:bCs w:val="false"/>
                <w:color w:val="000000"/>
                <w:sz w:val="19"/>
                <w:szCs w:val="19"/>
              </w:rPr>
              <w:t xml:space="preserve">Real LLM component</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intelligence_engine.py briefing + agentic investigation with 7 real tools</w:t>
            </w:r>
          </w:p>
        </w:tc>
      </w:tr>
    </w:tbl>
    <w:p>
      <w:pPr>
        <w:pStyle w:val="Heading2"/>
        <w:spacing w:after="120" w:before="280"/>
      </w:pPr>
      <w:r>
        <w:t xml:space="preserve">7.2 Milestone 2 — Predictive Maintenance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800"/>
      </w:tblGrid>
      <w:tr>
        <w:tc>
          <w:tcPr>
            <w:tcW w:type="dxa" w:w="3800"/>
            <w:shd w:fill="1E293B" w:color="auto" w:val="clear"/>
            <w:tcMar>
              <w:top w:type="dxa" w:w="80"/>
              <w:left w:type="dxa" w:w="120"/>
              <w:bottom w:type="dxa" w:w="80"/>
              <w:right w:type="dxa" w:w="120"/>
            </w:tcMar>
          </w:tcPr>
          <w:p>
            <w:r>
              <w:rPr>
                <w:b/>
                <w:bCs/>
                <w:color w:val="FFFFFF"/>
                <w:sz w:val="19"/>
                <w:szCs w:val="19"/>
              </w:rPr>
              <w:t xml:space="preserve">Requirement</w:t>
            </w:r>
          </w:p>
        </w:tc>
        <w:tc>
          <w:tcPr>
            <w:tcW w:type="dxa" w:w="1200"/>
            <w:shd w:fill="1E293B" w:color="auto" w:val="clear"/>
            <w:tcMar>
              <w:top w:type="dxa" w:w="80"/>
              <w:left w:type="dxa" w:w="120"/>
              <w:bottom w:type="dxa" w:w="80"/>
              <w:right w:type="dxa" w:w="120"/>
            </w:tcMar>
          </w:tcPr>
          <w:p>
            <w:r>
              <w:rPr>
                <w:b/>
                <w:bCs/>
                <w:color w:val="FFFFFF"/>
                <w:sz w:val="19"/>
                <w:szCs w:val="19"/>
              </w:rPr>
              <w:t xml:space="preserve">Covered?</w:t>
            </w:r>
          </w:p>
        </w:tc>
        <w:tc>
          <w:tcPr>
            <w:tcW w:type="dxa" w:w="4800"/>
            <w:shd w:fill="1E293B" w:color="auto" w:val="clear"/>
            <w:tcMar>
              <w:top w:type="dxa" w:w="80"/>
              <w:left w:type="dxa" w:w="120"/>
              <w:bottom w:type="dxa" w:w="80"/>
              <w:right w:type="dxa" w:w="120"/>
            </w:tcMar>
          </w:tcPr>
          <w:p>
            <w:r>
              <w:rPr>
                <w:b/>
                <w:bCs/>
                <w:color w:val="FFFFFF"/>
                <w:sz w:val="19"/>
                <w:szCs w:val="19"/>
              </w:rPr>
              <w:t xml:space="preserve">Where</w:t>
            </w:r>
          </w:p>
        </w:tc>
      </w:tr>
      <w:tr>
        <w:tc>
          <w:tcPr>
            <w:tcW w:type="dxa" w:w="3800"/>
            <w:tcMar>
              <w:top w:type="dxa" w:w="80"/>
              <w:left w:type="dxa" w:w="120"/>
              <w:bottom w:type="dxa" w:w="80"/>
              <w:right w:type="dxa" w:w="120"/>
            </w:tcMar>
          </w:tcPr>
          <w:p>
            <w:r>
              <w:rPr>
                <w:b w:val="false"/>
                <w:bCs w:val="false"/>
                <w:color w:val="000000"/>
                <w:sz w:val="19"/>
                <w:szCs w:val="19"/>
              </w:rPr>
              <w:t xml:space="preserve">Monitor facility assets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GET /maintenance/assets, /maintenance/fleet</w:t>
            </w:r>
          </w:p>
        </w:tc>
      </w:tr>
      <w:tr>
        <w:tc>
          <w:tcPr>
            <w:tcW w:type="dxa" w:w="3800"/>
            <w:tcMar>
              <w:top w:type="dxa" w:w="80"/>
              <w:left w:type="dxa" w:w="120"/>
              <w:bottom w:type="dxa" w:w="80"/>
              <w:right w:type="dxa" w:w="120"/>
            </w:tcMar>
          </w:tcPr>
          <w:p>
            <w:r>
              <w:rPr>
                <w:b w:val="false"/>
                <w:bCs w:val="false"/>
                <w:color w:val="000000"/>
                <w:sz w:val="19"/>
                <w:szCs w:val="19"/>
              </w:rPr>
              <w:t xml:space="preserve">Estimate equipment health</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score_asset() in maintenance_analytics.py, 0–100 health score</w:t>
            </w:r>
          </w:p>
        </w:tc>
      </w:tr>
      <w:tr>
        <w:tc>
          <w:tcPr>
            <w:tcW w:type="dxa" w:w="3800"/>
            <w:tcMar>
              <w:top w:type="dxa" w:w="80"/>
              <w:left w:type="dxa" w:w="120"/>
              <w:bottom w:type="dxa" w:w="80"/>
              <w:right w:type="dxa" w:w="120"/>
            </w:tcMar>
          </w:tcPr>
          <w:p>
            <w:r>
              <w:rPr>
                <w:b w:val="false"/>
                <w:bCs w:val="false"/>
                <w:color w:val="000000"/>
                <w:sz w:val="19"/>
                <w:szCs w:val="19"/>
              </w:rPr>
              <w:t xml:space="preserve">Predict Remaining Useful Life</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Gradient Boosting model, MAE 14.81 cycles, 57.5% better than naive baseline</w:t>
            </w:r>
          </w:p>
        </w:tc>
      </w:tr>
      <w:tr>
        <w:tc>
          <w:tcPr>
            <w:tcW w:type="dxa" w:w="3800"/>
            <w:tcMar>
              <w:top w:type="dxa" w:w="80"/>
              <w:left w:type="dxa" w:w="120"/>
              <w:bottom w:type="dxa" w:w="80"/>
              <w:right w:type="dxa" w:w="120"/>
            </w:tcMar>
          </w:tcPr>
          <w:p>
            <w:r>
              <w:rPr>
                <w:b w:val="false"/>
                <w:bCs w:val="false"/>
                <w:color w:val="000000"/>
                <w:sz w:val="19"/>
                <w:szCs w:val="19"/>
              </w:rPr>
              <w:t xml:space="preserve">Generate maintenance recommendations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MaintenanceAgent.recommend() — ranked alerts</w:t>
            </w:r>
          </w:p>
        </w:tc>
      </w:tr>
      <w:tr>
        <w:tc>
          <w:tcPr>
            <w:tcW w:type="dxa" w:w="3800"/>
            <w:tcMar>
              <w:top w:type="dxa" w:w="80"/>
              <w:left w:type="dxa" w:w="120"/>
              <w:bottom w:type="dxa" w:w="80"/>
              <w:right w:type="dxa" w:w="120"/>
            </w:tcMar>
          </w:tcPr>
          <w:p>
            <w:r>
              <w:rPr>
                <w:b w:val="false"/>
                <w:bCs w:val="false"/>
                <w:color w:val="000000"/>
                <w:sz w:val="19"/>
                <w:szCs w:val="19"/>
              </w:rPr>
              <w:t xml:space="preserve">Build Maintenance Agent (same template)</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app/agents/maintenance_agent.py — init/analyze/recommend/run</w:t>
            </w:r>
          </w:p>
        </w:tc>
      </w:tr>
      <w:tr>
        <w:tc>
          <w:tcPr>
            <w:tcW w:type="dxa" w:w="3800"/>
            <w:tcMar>
              <w:top w:type="dxa" w:w="80"/>
              <w:left w:type="dxa" w:w="120"/>
              <w:bottom w:type="dxa" w:w="80"/>
              <w:right w:type="dxa" w:w="120"/>
            </w:tcMar>
          </w:tcPr>
          <w:p>
            <w:r>
              <w:rPr>
                <w:b w:val="false"/>
                <w:bCs w:val="false"/>
                <w:color w:val="000000"/>
                <w:sz w:val="19"/>
                <w:szCs w:val="19"/>
              </w:rPr>
              <w:t xml:space="preserve">Agentic investigation layer</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GET /maintenance/investigate — 4 real tools, model decides which to call</w:t>
            </w:r>
          </w:p>
        </w:tc>
      </w:tr>
      <w:tr>
        <w:tc>
          <w:tcPr>
            <w:tcW w:type="dxa" w:w="3800"/>
            <w:tcMar>
              <w:top w:type="dxa" w:w="80"/>
              <w:left w:type="dxa" w:w="120"/>
              <w:bottom w:type="dxa" w:w="80"/>
              <w:right w:type="dxa" w:w="120"/>
            </w:tcMar>
          </w:tcPr>
          <w:p>
            <w:r>
              <w:rPr>
                <w:b w:val="false"/>
                <w:bCs w:val="false"/>
                <w:color w:val="000000"/>
                <w:sz w:val="19"/>
                <w:szCs w:val="19"/>
              </w:rPr>
              <w:t xml:space="preserve">Cross-agent integration with Energy</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flag_for_maintenance_review → create_work_order, tagged source="energy_agent"</w:t>
            </w:r>
          </w:p>
        </w:tc>
      </w:tr>
      <w:tr>
        <w:tc>
          <w:tcPr>
            <w:tcW w:type="dxa" w:w="3800"/>
            <w:tcMar>
              <w:top w:type="dxa" w:w="80"/>
              <w:left w:type="dxa" w:w="120"/>
              <w:bottom w:type="dxa" w:w="80"/>
              <w:right w:type="dxa" w:w="120"/>
            </w:tcMar>
          </w:tcPr>
          <w:p>
            <w:r>
              <w:rPr>
                <w:b w:val="false"/>
                <w:bCs w:val="false"/>
                <w:color w:val="000000"/>
                <w:sz w:val="19"/>
                <w:szCs w:val="19"/>
              </w:rPr>
              <w:t xml:space="preserve">Dashboard UI</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MaintenanceDashboardPage.jsx — KPIs, Fleet Health Radar, Asset Table, Alerts, Work Orders</w:t>
            </w:r>
          </w:p>
        </w:tc>
      </w:tr>
      <w:tr>
        <w:tc>
          <w:tcPr>
            <w:tcW w:type="dxa" w:w="3800"/>
            <w:tcMar>
              <w:top w:type="dxa" w:w="80"/>
              <w:left w:type="dxa" w:w="120"/>
              <w:bottom w:type="dxa" w:w="80"/>
              <w:right w:type="dxa" w:w="120"/>
            </w:tcMar>
          </w:tcPr>
          <w:p>
            <w:r>
              <w:rPr>
                <w:b w:val="false"/>
                <w:bCs w:val="false"/>
                <w:color w:val="000000"/>
                <w:sz w:val="19"/>
                <w:szCs w:val="19"/>
              </w:rPr>
              <w:t xml:space="preserve">Tests</w:t>
            </w:r>
          </w:p>
        </w:tc>
        <w:tc>
          <w:tcPr>
            <w:tcW w:type="dxa" w:w="1200"/>
            <w:tcMar>
              <w:top w:type="dxa" w:w="80"/>
              <w:left w:type="dxa" w:w="120"/>
              <w:bottom w:type="dxa" w:w="80"/>
              <w:right w:type="dxa" w:w="120"/>
            </w:tcMar>
          </w:tcPr>
          <w:p>
            <w:r>
              <w:rPr>
                <w:b w:val="false"/>
                <w:bCs w:val="false"/>
                <w:color w:val="000000"/>
                <w:sz w:val="19"/>
                <w:szCs w:val="19"/>
              </w:rPr>
              <w:t xml:space="preserve">Yes</w:t>
            </w:r>
          </w:p>
        </w:tc>
        <w:tc>
          <w:tcPr>
            <w:tcW w:type="dxa" w:w="4800"/>
            <w:tcMar>
              <w:top w:type="dxa" w:w="80"/>
              <w:left w:type="dxa" w:w="120"/>
              <w:bottom w:type="dxa" w:w="80"/>
              <w:right w:type="dxa" w:w="120"/>
            </w:tcMar>
          </w:tcPr>
          <w:p>
            <w:r>
              <w:rPr>
                <w:b w:val="false"/>
                <w:bCs w:val="false"/>
                <w:color w:val="000000"/>
                <w:sz w:val="19"/>
                <w:szCs w:val="19"/>
              </w:rPr>
              <w:t xml:space="preserve">24/24 passing (13 M1 + 11 M2)</w:t>
            </w:r>
          </w:p>
        </w:tc>
      </w:tr>
    </w:tbl>
    <w:p>
      <w:pPr>
        <w:pBdr>
          <w:left w:val="single" w:color="0D9488" w:sz="12" w:space="8"/>
        </w:pBdr>
        <w:spacing w:after="180" w:before="60"/>
        <w:ind w:left="200"/>
      </w:pPr>
      <w:r>
        <w:rPr>
          <w:i/>
          <w:iCs/>
          <w:color w:val="555555"/>
        </w:rPr>
        <w:t xml:space="preserve">Nothing on either milestone's original brief is outstanding. Milestone 3+ (Occupancy, Security, Cost agents, cross-agent orchestrator) is explicitly future work, not a gap in what's shipped.</w:t>
      </w:r>
    </w:p>
    <w:p>
      <w:pPr>
        <w:pStyle w:val="Heading1"/>
        <w:spacing w:after="160" w:before="400"/>
      </w:pPr>
      <w:r>
        <w:t xml:space="preserve">8. What You Actually Learned Building This</w:t>
      </w:r>
    </w:p>
    <w:p>
      <w:pPr>
        <w:pStyle w:val="ListParagraph"/>
        <w:numPr>
          <w:ilvl w:val="0"/>
          <w:numId w:val="2"/>
        </w:numPr>
        <w:spacing w:after="70"/>
      </w:pPr>
      <w:r>
        <w:t xml:space="preserve">How to design a system so a second, independent module (Maintenance) can be added without touching the first (Energy) — by fixing an agent template up front and holding to it, not by accident.</w:t>
      </w:r>
    </w:p>
    <w:p>
      <w:pPr>
        <w:pStyle w:val="ListParagraph"/>
        <w:numPr>
          <w:ilvl w:val="0"/>
          <w:numId w:val="2"/>
        </w:numPr>
        <w:spacing w:after="70"/>
      </w:pPr>
      <w:r>
        <w:t xml:space="preserve">The practical difference between three kinds of “AI” that get conflated in casual conversation: deterministic rule engines, trained ML regression, and genuinely agentic LLM tool-use where the model chooses actions rather than following a script.</w:t>
      </w:r>
    </w:p>
    <w:p>
      <w:pPr>
        <w:pStyle w:val="ListParagraph"/>
        <w:numPr>
          <w:ilvl w:val="0"/>
          <w:numId w:val="2"/>
        </w:numPr>
        <w:spacing w:after="70"/>
      </w:pPr>
      <w:r>
        <w:t xml:space="preserve">Why honest ML reporting matters more than a good-looking number — reporting the 24h energy forecast's weak ~5% improvement as low-confidence, instead of hiding it, is a stronger technical statement than a cherry-picked headline metric.</w:t>
      </w:r>
    </w:p>
    <w:p>
      <w:pPr>
        <w:pStyle w:val="ListParagraph"/>
        <w:numPr>
          <w:ilvl w:val="0"/>
          <w:numId w:val="2"/>
        </w:numPr>
        <w:spacing w:after="70"/>
      </w:pPr>
      <w:r>
        <w:t xml:space="preserve">How to build and verify a real cross-agent handoff — not just a UI element that looks connected, but a shared function call and a database row that proves two independent pieces of code actually cooperated, with a test asserting exactly that.</w:t>
      </w:r>
    </w:p>
    <w:p>
      <w:pPr>
        <w:pStyle w:val="ListParagraph"/>
        <w:numPr>
          <w:ilvl w:val="0"/>
          <w:numId w:val="2"/>
        </w:numPr>
        <w:spacing w:after="70"/>
      </w:pPr>
      <w:r>
        <w:t xml:space="preserve">Full-stack integration discipline: a service-layer pattern so the frontend's contract with the backend lives in one place, and the habit of verifying integration by diffing actual API response shapes against component field access, not just checking that the UI renders without errors.</w:t>
      </w:r>
    </w:p>
    <w:p>
      <w:pPr>
        <w:pStyle w:val="ListParagraph"/>
        <w:numPr>
          <w:ilvl w:val="0"/>
          <w:numId w:val="2"/>
        </w:numPr>
        <w:spacing w:after="70"/>
      </w:pPr>
      <w:r>
        <w:t xml:space="preserve">How to direct AI-assisted development responsibly — using it to generate and accelerate implementation while personally owning every architectural decision, every accuracy number, and every bug fix, and being able to explain and defend all of it without the assistant present.</w:t>
      </w:r>
    </w:p>
    <w:p>
      <w:pPr>
        <w:pStyle w:val="ListParagraph"/>
        <w:numPr>
          <w:ilvl w:val="0"/>
          <w:numId w:val="2"/>
        </w:numPr>
        <w:spacing w:after="70"/>
      </w:pPr>
      <w:r>
        <w:t xml:space="preserve">Time-series ML practice specifically: using TimeSeriesSplit rather than shuffled cross-validation, comparing against naive baselines instead of an accuracy number in isolation, and reporting confidence honestly per-horizon rather than uniformly.</w:t>
      </w:r>
    </w:p>
    <w:p>
      <w:pPr>
        <w:pStyle w:val="ListParagraph"/>
        <w:numPr>
          <w:ilvl w:val="0"/>
          <w:numId w:val="2"/>
        </w:numPr>
        <w:spacing w:after="70"/>
      </w:pPr>
      <w:r>
        <w:t xml:space="preserve">Reviewing a teammate's contribution against the real backend contract (not just visually) — catching that a merged component silently read fields that didn't exist in the API response, which is a class of bug that's invisible until you check the data shape directly.</w:t>
      </w:r>
    </w:p>
    <w:p>
      <w:pPr>
        <w:pStyle w:val="Heading1"/>
        <w:spacing w:after="160" w:before="400"/>
      </w:pPr>
      <w:r>
        <w:t xml:space="preserve">9. Viva / Examiner Question Bank (with model answers)</w:t>
      </w:r>
    </w:p>
    <w:p>
      <w:pPr>
        <w:pBdr>
          <w:left w:val="single" w:color="0D9488" w:sz="12" w:space="8"/>
        </w:pBdr>
        <w:spacing w:after="180" w:before="60"/>
        <w:ind w:left="200"/>
      </w:pPr>
      <w:r>
        <w:rPr>
          <w:i/>
          <w:iCs/>
          <w:color w:val="555555"/>
        </w:rPr>
        <w:t xml:space="preserve">Read these once, then answer out loud in your own words — the goal is understanding, not memorized recitation. A professor can tell the difference.</w:t>
      </w:r>
    </w:p>
    <w:p>
      <w:pPr>
        <w:pStyle w:val="Heading2"/>
        <w:spacing w:after="120" w:before="280"/>
      </w:pPr>
      <w:r>
        <w:t xml:space="preserve">9.1 Architecture &amp; Concepts</w:t>
      </w:r>
    </w:p>
    <w:p>
      <w:pPr>
        <w:spacing w:after="60" w:before="200"/>
      </w:pPr>
      <w:r>
        <w:rPr>
          <w:b/>
          <w:bCs/>
          <w:color w:val="0D9488"/>
        </w:rPr>
        <w:t xml:space="preserve">Q. </w:t>
      </w:r>
      <w:r>
        <w:rPr>
          <w:b/>
          <w:bCs/>
        </w:rPr>
        <w:t xml:space="preserve">What does “agentic” actually mean in this project, and how is it different from a chatbot?</w:t>
      </w:r>
    </w:p>
    <w:p>
      <w:pPr>
        <w:spacing w:after="60"/>
        <w:ind w:left="100"/>
      </w:pPr>
      <w:r>
        <w:rPr>
          <w:b/>
          <w:bCs/>
          <w:color w:val="B45309"/>
        </w:rPr>
        <w:t xml:space="preserve">A. </w:t>
      </w:r>
      <w:r>
        <w:t xml:space="preserve">An agent here is given a goal and a set of real tools (functions it can call, like checking fleet health or opening a work order) and decides for itself which tools to call, in what order, and whether to act on what it finds — the reasoning branches based on intermediate results. A chatbot that just narrates data you already computed for it, with no ability to choose actions, isn't agentic in this technical sense even if it uses an LLM.</w:t>
      </w:r>
    </w:p>
    <w:p>
      <w:pPr>
        <w:spacing w:after="60" w:before="200"/>
      </w:pPr>
      <w:r>
        <w:rPr>
          <w:b/>
          <w:bCs/>
          <w:color w:val="0D9488"/>
        </w:rPr>
        <w:t xml:space="preserve">Q. </w:t>
      </w:r>
      <w:r>
        <w:rPr>
          <w:b/>
          <w:bCs/>
        </w:rPr>
        <w:t xml:space="preserve">Why does every agent follow the same analyze/recommend/run template?</w:t>
      </w:r>
    </w:p>
    <w:p>
      <w:pPr>
        <w:spacing w:after="60"/>
        <w:ind w:left="100"/>
      </w:pPr>
      <w:r>
        <w:rPr>
          <w:b/>
          <w:bCs/>
          <w:color w:val="B45309"/>
        </w:rPr>
        <w:t xml:space="preserve">A. </w:t>
      </w:r>
      <w:r>
        <w:t xml:space="preserve">So the architecture generalizes instead of being redesigned per feature. Milestone 2's Maintenance Agent reusing the exact same four-step shape as Milestone 1's Energy Agent is itself evidence the design decision was correct — and it means a future Occupancy or Security agent is a known shape to build against, not a new architecture.</w:t>
      </w:r>
    </w:p>
    <w:p>
      <w:pPr>
        <w:spacing w:after="60" w:before="200"/>
      </w:pPr>
      <w:r>
        <w:rPr>
          <w:b/>
          <w:bCs/>
          <w:color w:val="0D9488"/>
        </w:rPr>
        <w:t xml:space="preserve">Q. </w:t>
      </w:r>
      <w:r>
        <w:rPr>
          <w:b/>
          <w:bCs/>
        </w:rPr>
        <w:t xml:space="preserve">What is the cross-agent handoff, concretely, and how do you prove it's real and not just a UI illusion?</w:t>
      </w:r>
    </w:p>
    <w:p>
      <w:pPr>
        <w:spacing w:after="60"/>
        <w:ind w:left="100"/>
      </w:pPr>
      <w:r>
        <w:rPr>
          <w:b/>
          <w:bCs/>
          <w:color w:val="B45309"/>
        </w:rPr>
        <w:t xml:space="preserve">A. </w:t>
      </w:r>
      <w:r>
        <w:t xml:space="preserve">The Energy Agent's flag_for_maintenance_review tool calls the exact same open_work_order() function the Maintenance Agent uses internally, writing a real row to the maintenance_events table tagged source="energy_agent". It's proven by a dedicated test, test_cross_agent_handoff_creates_real_work_order, which asserts a database row exists after the handoff — not just that a UI element appeared.</w:t>
      </w:r>
    </w:p>
    <w:p>
      <w:pPr>
        <w:spacing w:after="60" w:before="200"/>
      </w:pPr>
      <w:r>
        <w:rPr>
          <w:b/>
          <w:bCs/>
          <w:color w:val="0D9488"/>
        </w:rPr>
        <w:t xml:space="preserve">Q. </w:t>
      </w:r>
      <w:r>
        <w:rPr>
          <w:b/>
          <w:bCs/>
        </w:rPr>
        <w:t xml:space="preserve">Why three separate ML models for the energy forecast instead of one model for all horizons?</w:t>
      </w:r>
    </w:p>
    <w:p>
      <w:pPr>
        <w:spacing w:after="60"/>
        <w:ind w:left="100"/>
      </w:pPr>
      <w:r>
        <w:rPr>
          <w:b/>
          <w:bCs/>
          <w:color w:val="B45309"/>
        </w:rPr>
        <w:t xml:space="preserve">A. </w:t>
      </w:r>
      <w:r>
        <w:t xml:space="preserve">Near-term (1h) forecasting and next-day (24h) forecasting are genuinely different problems — the current reading is highly informative for 1h ahead and barely informative 24h ahead — so a single model tuned to do both would underperform at each compared to models trained specifically per horizon.</w:t>
      </w:r>
    </w:p>
    <w:p>
      <w:pPr>
        <w:spacing w:after="60" w:before="200"/>
      </w:pPr>
      <w:r>
        <w:rPr>
          <w:b/>
          <w:bCs/>
          <w:color w:val="0D9488"/>
        </w:rPr>
        <w:t xml:space="preserve">Q. </w:t>
      </w:r>
      <w:r>
        <w:rPr>
          <w:b/>
          <w:bCs/>
        </w:rPr>
        <w:t xml:space="preserve">What would happen if you removed the mock LLM provider — does the system still work without an API key?</w:t>
      </w:r>
    </w:p>
    <w:p>
      <w:pPr>
        <w:spacing w:after="60"/>
        <w:ind w:left="100"/>
      </w:pPr>
      <w:r>
        <w:rPr>
          <w:b/>
          <w:bCs/>
          <w:color w:val="B45309"/>
        </w:rPr>
        <w:t xml:space="preserve">A. </w:t>
      </w:r>
      <w:r>
        <w:t xml:space="preserve">Yes — with AI_PROVIDER=mock (the default), the agentic branches are scripted but still follow the same decision shape (call a tool, inspect the result, decide the next action), clearly labeled as simulated in the output. This means the whole system can be built, demoed, and tested without ever needing a paid API key, and swapping in a real GROQ_API_KEY changes nothing else — same tools, same endpoint, same frontend.</w:t>
      </w:r>
    </w:p>
    <w:p>
      <w:pPr>
        <w:pStyle w:val="Heading2"/>
        <w:spacing w:after="120" w:before="280"/>
      </w:pPr>
      <w:r>
        <w:t xml:space="preserve">9.2 ML &amp; Data</w:t>
      </w:r>
    </w:p>
    <w:p>
      <w:pPr>
        <w:spacing w:after="60" w:before="200"/>
      </w:pPr>
      <w:r>
        <w:rPr>
          <w:b/>
          <w:bCs/>
          <w:color w:val="0D9488"/>
        </w:rPr>
        <w:t xml:space="preserve">Q. </w:t>
      </w:r>
      <w:r>
        <w:rPr>
          <w:b/>
          <w:bCs/>
        </w:rPr>
        <w:t xml:space="preserve">Why Gradient Boosting and not Random Forest or Linear Regression for RUL prediction?</w:t>
      </w:r>
    </w:p>
    <w:p>
      <w:pPr>
        <w:spacing w:after="60"/>
        <w:ind w:left="100"/>
      </w:pPr>
      <w:r>
        <w:rPr>
          <w:b/>
          <w:bCs/>
          <w:color w:val="B45309"/>
        </w:rPr>
        <w:t xml:space="preserve">A. </w:t>
      </w:r>
      <w:r>
        <w:t xml:space="preserve">All three were actually trained and compared on held-out data; Gradient Boosting won on MAE (14.81 cycles vs. the naive baseline's 34.83), a 57.5% improvement. It wasn't picked by assumption — the comparison is in ml_models/maintenance/train_health_model.py and the numbers are in model_metrics.json.</w:t>
      </w:r>
    </w:p>
    <w:p>
      <w:pPr>
        <w:spacing w:after="60" w:before="200"/>
      </w:pPr>
      <w:r>
        <w:rPr>
          <w:b/>
          <w:bCs/>
          <w:color w:val="0D9488"/>
        </w:rPr>
        <w:t xml:space="preserve">Q. </w:t>
      </w:r>
      <w:r>
        <w:rPr>
          <w:b/>
          <w:bCs/>
        </w:rPr>
        <w:t xml:space="preserve">What is RUL clipping at 125 and why do it?</w:t>
      </w:r>
    </w:p>
    <w:p>
      <w:pPr>
        <w:spacing w:after="60"/>
        <w:ind w:left="100"/>
      </w:pPr>
      <w:r>
        <w:rPr>
          <w:b/>
          <w:bCs/>
          <w:color w:val="B45309"/>
        </w:rPr>
        <w:t xml:space="preserve">A. </w:t>
      </w:r>
      <w:r>
        <w:t xml:space="preserve">Far from failure, sensor readings don't cleanly distinguish “300 cycles left” from “280 cycles left” — clipping the target at 125 asks the model the more answerable question of “how close to failure, up to ~125 cycles out,” which is standard practice in this field rather than an accuracy trick.</w:t>
      </w:r>
    </w:p>
    <w:p>
      <w:pPr>
        <w:spacing w:after="60" w:before="200"/>
      </w:pPr>
      <w:r>
        <w:rPr>
          <w:b/>
          <w:bCs/>
          <w:color w:val="0D9488"/>
        </w:rPr>
        <w:t xml:space="preserve">Q. </w:t>
      </w:r>
      <w:r>
        <w:rPr>
          <w:b/>
          <w:bCs/>
        </w:rPr>
        <w:t xml:space="preserve">Is the maintenance dataset real or synthetic?</w:t>
      </w:r>
    </w:p>
    <w:p>
      <w:pPr>
        <w:spacing w:after="60"/>
        <w:ind w:left="100"/>
      </w:pPr>
      <w:r>
        <w:rPr>
          <w:b/>
          <w:bCs/>
          <w:color w:val="B45309"/>
        </w:rPr>
        <w:t xml:space="preserve">A. </w:t>
      </w:r>
      <w:r>
        <w:t xml:space="preserve">The sensor values and how they degrade over time are 100% real — real aircraft engines from NASA's C-MAPSS run to actual mechanical failure. What's synthetic is the labeling: sensor names and asset identities were relabeled onto fictional facility equipment because no free, high-quality, real facility run-to-failure dataset exists publicly. That relabeling is disclosed in the code, not hidden.</w:t>
      </w:r>
    </w:p>
    <w:p>
      <w:pPr>
        <w:spacing w:after="60" w:before="200"/>
      </w:pPr>
      <w:r>
        <w:rPr>
          <w:b/>
          <w:bCs/>
          <w:color w:val="0D9488"/>
        </w:rPr>
        <w:t xml:space="preserve">Q. </w:t>
      </w:r>
      <w:r>
        <w:rPr>
          <w:b/>
          <w:bCs/>
        </w:rPr>
        <w:t xml:space="preserve">Why TimeSeriesSplit instead of standard k-fold cross-validation for the energy forecast?</w:t>
      </w:r>
    </w:p>
    <w:p>
      <w:pPr>
        <w:spacing w:after="60"/>
        <w:ind w:left="100"/>
      </w:pPr>
      <w:r>
        <w:rPr>
          <w:b/>
          <w:bCs/>
          <w:color w:val="B45309"/>
        </w:rPr>
        <w:t xml:space="preserve">A. </w:t>
      </w:r>
      <w:r>
        <w:t xml:space="preserve">Standard k-fold shuffles data randomly, which for a time series means training on future data to predict the past — a leak that inflates accuracy. TimeSeriesSplit always trains on past folds and validates on a later fold, which matches how the model would actually be used in production.</w:t>
      </w:r>
    </w:p>
    <w:p>
      <w:pPr>
        <w:spacing w:after="60" w:before="200"/>
      </w:pPr>
      <w:r>
        <w:rPr>
          <w:b/>
          <w:bCs/>
          <w:color w:val="0D9488"/>
        </w:rPr>
        <w:t xml:space="preserve">Q. </w:t>
      </w:r>
      <w:r>
        <w:rPr>
          <w:b/>
          <w:bCs/>
        </w:rPr>
        <w:t xml:space="preserve">The 24h energy forecast is only ~5% better than a naive baseline. Why report that instead of hiding it?</w:t>
      </w:r>
    </w:p>
    <w:p>
      <w:pPr>
        <w:spacing w:after="60"/>
        <w:ind w:left="100"/>
      </w:pPr>
      <w:r>
        <w:rPr>
          <w:b/>
          <w:bCs/>
          <w:color w:val="B45309"/>
        </w:rPr>
        <w:t xml:space="preserve">A. </w:t>
      </w:r>
      <w:r>
        <w:t xml:space="preserve">Because forecasting a full day out from 15-minute-resolution features is a genuinely hard problem, and claiming otherwise would be dishonest. It's surfaced as a confidence: low flag in the API and UI rather than omitted — an honest weak result is more defensible in a viva than a suspiciously perfect one nobody can explain.</w:t>
      </w:r>
    </w:p>
    <w:p>
      <w:pPr>
        <w:spacing w:after="60" w:before="200"/>
      </w:pPr>
      <w:r>
        <w:rPr>
          <w:b/>
          <w:bCs/>
          <w:color w:val="0D9488"/>
        </w:rPr>
        <w:t xml:space="preserve">Q. </w:t>
      </w:r>
      <w:r>
        <w:rPr>
          <w:b/>
          <w:bCs/>
        </w:rPr>
        <w:t xml:space="preserve">What's the naive baseline you compared against, and why does that matter?</w:t>
      </w:r>
    </w:p>
    <w:p>
      <w:pPr>
        <w:spacing w:after="60"/>
        <w:ind w:left="100"/>
      </w:pPr>
      <w:r>
        <w:rPr>
          <w:b/>
          <w:bCs/>
          <w:color w:val="B45309"/>
        </w:rPr>
        <w:t xml:space="preserve">A. </w:t>
      </w:r>
      <w:r>
        <w:t xml:space="preserve">Two naive baselines per horizon: “no change from now” and “same value as this time yesterday.” They matter because a raw accuracy number means nothing on its own — the real question is whether the trained model beats the simplest possible guess, and by how much.</w:t>
      </w:r>
    </w:p>
    <w:p>
      <w:pPr>
        <w:pStyle w:val="Heading2"/>
        <w:spacing w:after="120" w:before="280"/>
      </w:pPr>
      <w:r>
        <w:t xml:space="preserve">9.3 Backend, Frontend &amp; Integration</w:t>
      </w:r>
    </w:p>
    <w:p>
      <w:pPr>
        <w:spacing w:after="60" w:before="200"/>
      </w:pPr>
      <w:r>
        <w:rPr>
          <w:b/>
          <w:bCs/>
          <w:color w:val="0D9488"/>
        </w:rPr>
        <w:t xml:space="preserve">Q. </w:t>
      </w:r>
      <w:r>
        <w:rPr>
          <w:b/>
          <w:bCs/>
        </w:rPr>
        <w:t xml:space="preserve">Walk me through what happens when the Maintenance dashboard loads.</w:t>
      </w:r>
    </w:p>
    <w:p>
      <w:pPr>
        <w:spacing w:after="60"/>
        <w:ind w:left="100"/>
      </w:pPr>
      <w:r>
        <w:rPr>
          <w:b/>
          <w:bCs/>
          <w:color w:val="B45309"/>
        </w:rPr>
        <w:t xml:space="preserve">A. </w:t>
      </w:r>
      <w:r>
        <w:t xml:space="preserve">The page's useEffect calls maintenanceService.getFleet(), an Axios wrapper that hits GET /maintenance/fleet. FastAPI's route handler builds a MaintenanceAgent and calls .run(), which internally calls analyze() (score every asset with the trained model) then recommend() (rank alerts). The combined result comes back as one JSON payload and powers the KPI cards, radar, and table from a single response.</w:t>
      </w:r>
    </w:p>
    <w:p>
      <w:pPr>
        <w:spacing w:after="60" w:before="200"/>
      </w:pPr>
      <w:r>
        <w:rPr>
          <w:b/>
          <w:bCs/>
          <w:color w:val="0D9488"/>
        </w:rPr>
        <w:t xml:space="preserve">Q. </w:t>
      </w:r>
      <w:r>
        <w:rPr>
          <w:b/>
          <w:bCs/>
        </w:rPr>
        <w:t xml:space="preserve">Why is there one combined /maintenance/fleet endpoint instead of the frontend calling several smaller endpoints?</w:t>
      </w:r>
    </w:p>
    <w:p>
      <w:pPr>
        <w:spacing w:after="60"/>
        <w:ind w:left="100"/>
      </w:pPr>
      <w:r>
        <w:rPr>
          <w:b/>
          <w:bCs/>
          <w:color w:val="B45309"/>
        </w:rPr>
        <w:t xml:space="preserve">A. </w:t>
      </w:r>
      <w:r>
        <w:t xml:space="preserve">It's the single call that powers the whole dashboard in one round trip instead of four, which matters for perceived load time — though the smaller focused endpoints (/assets, /alerts, /work-orders) still exist separately for cases that only need one piece, like the Work Orders panel's own refresh after an investigation.</w:t>
      </w:r>
    </w:p>
    <w:p>
      <w:pPr>
        <w:spacing w:after="60" w:before="200"/>
      </w:pPr>
      <w:r>
        <w:rPr>
          <w:b/>
          <w:bCs/>
          <w:color w:val="0D9488"/>
        </w:rPr>
        <w:t xml:space="preserve">Q. </w:t>
      </w:r>
      <w:r>
        <w:rPr>
          <w:b/>
          <w:bCs/>
        </w:rPr>
        <w:t xml:space="preserve">Does the dashboard update in real time?</w:t>
      </w:r>
    </w:p>
    <w:p>
      <w:pPr>
        <w:spacing w:after="60"/>
        <w:ind w:left="100"/>
      </w:pPr>
      <w:r>
        <w:rPr>
          <w:b/>
          <w:bCs/>
          <w:color w:val="B45309"/>
        </w:rPr>
        <w:t xml:space="preserve">A. </w:t>
      </w:r>
      <w:r>
        <w:t xml:space="preserve">Not via websockets — it's HTTP polling. A background interval silently re-fetches the dashboard data every 30 seconds, and after certain user actions (like running an investigation) it also explicitly refetches the affected endpoint immediately, rather than waiting for the next poll. A LiveIndicator component shows a genuinely ticking “updated Xs ago” timestamp so the “Live” claim is accurate, not decorative.</w:t>
      </w:r>
    </w:p>
    <w:p>
      <w:pPr>
        <w:spacing w:after="60" w:before="200"/>
      </w:pPr>
      <w:r>
        <w:rPr>
          <w:b/>
          <w:bCs/>
          <w:color w:val="0D9488"/>
        </w:rPr>
        <w:t xml:space="preserve">Q. </w:t>
      </w:r>
      <w:r>
        <w:rPr>
          <w:b/>
          <w:bCs/>
        </w:rPr>
        <w:t xml:space="preserve">Why is there a service layer (energyService.js / maintenanceService.js) instead of components calling Axios directly?</w:t>
      </w:r>
    </w:p>
    <w:p>
      <w:pPr>
        <w:spacing w:after="60"/>
        <w:ind w:left="100"/>
      </w:pPr>
      <w:r>
        <w:rPr>
          <w:b/>
          <w:bCs/>
          <w:color w:val="B45309"/>
        </w:rPr>
        <w:t xml:space="preserve">A. </w:t>
      </w:r>
      <w:r>
        <w:t xml:space="preserve">Single source of truth for the API base URL and error handling, and if an endpoint's response shape changes, only the service file needs updating instead of every component using it. It also documents the frontend's actual contract with the backend in one readable place.</w:t>
      </w:r>
    </w:p>
    <w:p>
      <w:pPr>
        <w:spacing w:after="60" w:before="200"/>
      </w:pPr>
      <w:r>
        <w:rPr>
          <w:b/>
          <w:bCs/>
          <w:color w:val="0D9488"/>
        </w:rPr>
        <w:t xml:space="preserve">Q. </w:t>
      </w:r>
      <w:r>
        <w:rPr>
          <w:b/>
          <w:bCs/>
        </w:rPr>
        <w:t xml:space="preserve">How would you swap SQLite for PostgreSQL in production?</w:t>
      </w:r>
    </w:p>
    <w:p>
      <w:pPr>
        <w:spacing w:after="60"/>
        <w:ind w:left="100"/>
      </w:pPr>
      <w:r>
        <w:rPr>
          <w:b/>
          <w:bCs/>
          <w:color w:val="B45309"/>
        </w:rPr>
        <w:t xml:space="preserve">A. </w:t>
      </w:r>
      <w:r>
        <w:t xml:space="preserve">One connection-string change in backend/app/core/config.py — SQLAlchemy abstracts the rest, so no route, service, or model code would need to change.</w:t>
      </w:r>
    </w:p>
    <w:p>
      <w:pPr>
        <w:pStyle w:val="Heading2"/>
        <w:spacing w:after="120" w:before="280"/>
      </w:pPr>
      <w:r>
        <w:t xml:space="preserve">9.4 Design, Process &amp; Reflection</w:t>
      </w:r>
    </w:p>
    <w:p>
      <w:pPr>
        <w:spacing w:after="60" w:before="200"/>
      </w:pPr>
      <w:r>
        <w:rPr>
          <w:b/>
          <w:bCs/>
          <w:color w:val="0D9488"/>
        </w:rPr>
        <w:t xml:space="preserve">Q. </w:t>
      </w:r>
      <w:r>
        <w:rPr>
          <w:b/>
          <w:bCs/>
        </w:rPr>
        <w:t xml:space="preserve">What would you do differently if you started over?</w:t>
      </w:r>
    </w:p>
    <w:p>
      <w:pPr>
        <w:spacing w:after="60"/>
        <w:ind w:left="100"/>
      </w:pPr>
      <w:r>
        <w:rPr>
          <w:b/>
          <w:bCs/>
          <w:color w:val="B45309"/>
        </w:rPr>
        <w:t xml:space="preserve">A. </w:t>
      </w:r>
      <w:r>
        <w:t xml:space="preserve">Add the live-polling and semantic color system from the start rather than as a later pass — both are cheap to build early and expensive-feeling to retrofit. I'd also design the Work Order response schema and the frontend component against it in the same sitting, since the biggest integration bug this project hit (a teammate's component reading fields that didn't exist) came from those being written separately without a shared contract check.</w:t>
      </w:r>
    </w:p>
    <w:p>
      <w:pPr>
        <w:spacing w:after="60" w:before="200"/>
      </w:pPr>
      <w:r>
        <w:rPr>
          <w:b/>
          <w:bCs/>
          <w:color w:val="0D9488"/>
        </w:rPr>
        <w:t xml:space="preserve">Q. </w:t>
      </w:r>
      <w:r>
        <w:rPr>
          <w:b/>
          <w:bCs/>
        </w:rPr>
        <w:t xml:space="preserve">How did you use AI tools in building this, honestly?</w:t>
      </w:r>
    </w:p>
    <w:p>
      <w:pPr>
        <w:spacing w:after="60"/>
        <w:ind w:left="100"/>
      </w:pPr>
      <w:r>
        <w:rPr>
          <w:b/>
          <w:bCs/>
          <w:color w:val="B45309"/>
        </w:rPr>
        <w:t xml:space="preserve">A. </w:t>
      </w:r>
      <w:r>
        <w:t xml:space="preserve">As a code-generation and debugging assistant under my direction — I set the architecture, dataset choices, and honesty requirements (like reporting weak ML results plainly), the assistant generated implementation against those constraints, and I reviewed, tested, and understood every piece before accepting it, including running the actual test suite and manually checking API responses rather than trusting a summary.</w:t>
      </w:r>
    </w:p>
    <w:p>
      <w:pPr>
        <w:spacing w:after="60" w:before="200"/>
      </w:pPr>
      <w:r>
        <w:rPr>
          <w:b/>
          <w:bCs/>
          <w:color w:val="0D9488"/>
        </w:rPr>
        <w:t xml:space="preserve">Q. </w:t>
      </w:r>
      <w:r>
        <w:rPr>
          <w:b/>
          <w:bCs/>
        </w:rPr>
        <w:t xml:space="preserve">What's the single hardest bug or decision in this project?</w:t>
      </w:r>
    </w:p>
    <w:p>
      <w:pPr>
        <w:spacing w:after="60"/>
        <w:ind w:left="100"/>
      </w:pPr>
      <w:r>
        <w:rPr>
          <w:b/>
          <w:bCs/>
          <w:color w:val="B45309"/>
        </w:rPr>
        <w:t xml:space="preserve">A. </w:t>
      </w:r>
      <w:r>
        <w:t xml:space="preserve">Getting the cross-agent handoff to be real rather than simulated — it would have been much easier to have flag_for_maintenance_review just log a line (which is exactly what it did in Milestone 1) and call it done. Making it actually call the same function the Maintenance Agent uses internally, and then writing a test that asserts a real database row exists afterward, was the part that took genuine design thought rather than routine implementation.</w:t>
      </w:r>
    </w:p>
    <w:p>
      <w:pPr>
        <w:spacing w:after="60" w:before="200"/>
      </w:pPr>
      <w:r>
        <w:rPr>
          <w:b/>
          <w:bCs/>
          <w:color w:val="0D9488"/>
        </w:rPr>
        <w:t xml:space="preserve">Q. </w:t>
      </w:r>
      <w:r>
        <w:rPr>
          <w:b/>
          <w:bCs/>
        </w:rPr>
        <w:t xml:space="preserve">What's next (Milestone 3+) and why isn't it built yet?</w:t>
      </w:r>
    </w:p>
    <w:p>
      <w:pPr>
        <w:spacing w:after="60"/>
        <w:ind w:left="100"/>
      </w:pPr>
      <w:r>
        <w:rPr>
          <w:b/>
          <w:bCs/>
          <w:color w:val="B45309"/>
        </w:rPr>
        <w:t xml:space="preserve">A. </w:t>
      </w:r>
      <w:r>
        <w:t xml:space="preserve">Occupancy and Security agents following the same four-step template, a cross-agent orchestrator that can reason across all agents at once instead of only point-to-point handoffs like the current Energy→Maintenance one, swapping CSV ingestion for a live connector (utility API/MQTT/BACnet/CMMS), and persisting recommendation acceptance/dismissal. It's scoped as future milestones deliberately, not an oversight — the architecture is built so each one is an additive agent, not a rewrite.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2026-08-04T19:51:58.750Z</dcterms:created>
  <dcterms:modified xsi:type="dcterms:W3CDTF">2026-08-04T19:51:58.750Z</dcterms:modified>
</cp:coreProperties>
</file>

<file path=docProps/custom.xml><?xml version="1.0" encoding="utf-8"?>
<Properties xmlns="http://schemas.openxmlformats.org/officeDocument/2006/custom-properties" xmlns:vt="http://schemas.openxmlformats.org/officeDocument/2006/docPropsVTypes"/>
</file>