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328"/>
        <w:gridCol w:w="5328"/>
      </w:tblGrid>
      <w:tr>
        <w:tc>
          <w:tcPr>
            <w:tcW w:type="dxa" w:w="5328"/>
            <w:shd w:fill="1A365D" w:val="clear"/>
          </w:tcPr>
          <w:p>
            <w:r>
              <w:rPr>
                <w:rFonts w:ascii="Arial" w:hAnsi="Arial"/>
                <w:b/>
                <w:i w:val="0"/>
                <w:color w:val="FFFFFF"/>
                <w:sz w:val="18"/>
              </w:rPr>
              <w:t>Date</w:t>
            </w:r>
          </w:p>
        </w:tc>
        <w:tc>
          <w:tcPr>
            <w:tcW w:type="dxa" w:w="5328"/>
          </w:tcPr>
          <w:p>
            <w:r>
              <w:rPr>
                <w:rFonts w:ascii="Arial" w:hAnsi="Arial"/>
                <w:b w:val="0"/>
                <w:i w:val="0"/>
                <w:sz w:val="18"/>
              </w:rPr>
              <w:t>03 October 2026</w:t>
            </w:r>
          </w:p>
        </w:tc>
      </w:tr>
      <w:tr>
        <w:tc>
          <w:tcPr>
            <w:tcW w:type="dxa" w:w="5328"/>
            <w:shd w:fill="1A365D" w:val="clear"/>
          </w:tcPr>
          <w:p>
            <w:r>
              <w:rPr>
                <w:rFonts w:ascii="Arial" w:hAnsi="Arial"/>
                <w:b/>
                <w:i w:val="0"/>
                <w:color w:val="FFFFFF"/>
                <w:sz w:val="18"/>
              </w:rPr>
              <w:t>Team ID</w:t>
            </w:r>
          </w:p>
        </w:tc>
        <w:tc>
          <w:tcPr>
            <w:tcW w:type="dxa" w:w="5328"/>
          </w:tcPr>
          <w:p>
            <w:r>
              <w:rPr>
                <w:rFonts w:ascii="Arial" w:hAnsi="Arial"/>
                <w:b w:val="0"/>
                <w:i w:val="0"/>
                <w:sz w:val="18"/>
              </w:rPr>
              <w:t>6ab8f5efc23107aaaa7325ec</w:t>
            </w:r>
          </w:p>
        </w:tc>
      </w:tr>
      <w:tr>
        <w:tc>
          <w:tcPr>
            <w:tcW w:type="dxa" w:w="5328"/>
            <w:shd w:fill="1A365D" w:val="clear"/>
          </w:tcPr>
          <w:p>
            <w:r>
              <w:rPr>
                <w:rFonts w:ascii="Arial" w:hAnsi="Arial"/>
                <w:b/>
                <w:i w:val="0"/>
                <w:color w:val="FFFFFF"/>
                <w:sz w:val="18"/>
              </w:rPr>
              <w:t>Project Name</w:t>
            </w:r>
          </w:p>
        </w:tc>
        <w:tc>
          <w:tcPr>
            <w:tcW w:type="dxa" w:w="5328"/>
          </w:tcPr>
          <w:p>
            <w:r>
              <w:rPr>
                <w:rFonts w:ascii="Arial" w:hAnsi="Arial"/>
                <w:b w:val="0"/>
                <w:i w:val="0"/>
                <w:sz w:val="18"/>
              </w:rPr>
              <w:t>Auto Ticket Classification using Flow Designer</w:t>
            </w:r>
          </w:p>
        </w:tc>
      </w:tr>
      <w:tr>
        <w:tc>
          <w:tcPr>
            <w:tcW w:type="dxa" w:w="5328"/>
            <w:shd w:fill="1A365D" w:val="clear"/>
          </w:tcPr>
          <w:p>
            <w:r>
              <w:rPr>
                <w:rFonts w:ascii="Arial" w:hAnsi="Arial"/>
                <w:b/>
                <w:i w:val="0"/>
                <w:color w:val="FFFFFF"/>
                <w:sz w:val="18"/>
              </w:rPr>
              <w:t>Maximum Marks</w:t>
            </w:r>
          </w:p>
        </w:tc>
        <w:tc>
          <w:tcPr>
            <w:tcW w:type="dxa" w:w="5328"/>
          </w:tcPr>
          <w:p>
            <w:r>
              <w:rPr>
                <w:rFonts w:ascii="Arial" w:hAnsi="Arial"/>
                <w:b w:val="0"/>
                <w:i w:val="0"/>
                <w:sz w:val="18"/>
              </w:rPr>
              <w:t>4 Marks</w:t>
            </w:r>
          </w:p>
        </w:tc>
      </w:tr>
    </w:tbl>
    <w:p/>
    <w:p>
      <w:pPr>
        <w:jc w:val="center"/>
      </w:pPr>
      <w:r>
        <w:rPr>
          <w:rFonts w:ascii="Arial" w:hAnsi="Arial"/>
          <w:b/>
          <w:i w:val="0"/>
          <w:color w:val="1A365D"/>
          <w:sz w:val="26"/>
        </w:rPr>
        <w:t>Project Design Phase-II</w:t>
      </w:r>
    </w:p>
    <w:p>
      <w:pPr>
        <w:jc w:val="center"/>
      </w:pPr>
      <w:r>
        <w:rPr>
          <w:rFonts w:ascii="Arial" w:hAnsi="Arial"/>
          <w:b/>
          <w:i w:val="0"/>
          <w:color w:val="1A365D"/>
          <w:sz w:val="26"/>
        </w:rPr>
        <w:t>Solution Requirements (Functional &amp; Non-functional)</w:t>
      </w:r>
    </w:p>
    <w:p>
      <w:r>
        <w:rPr>
          <w:rFonts w:ascii="Arial" w:hAnsi="Arial"/>
          <w:b/>
          <w:i w:val="0"/>
          <w:color w:val="1A365D"/>
          <w:sz w:val="22"/>
        </w:rPr>
        <w:t>Functional Requirements:</w:t>
      </w:r>
    </w:p>
    <w:p>
      <w:r>
        <w:rPr>
          <w:rFonts w:ascii="Arial" w:hAnsi="Arial"/>
          <w:b w:val="0"/>
          <w:i w:val="0"/>
          <w:sz w:val="18"/>
        </w:rPr>
        <w:t>Following are the functional requirements of the proposed solution.</w:t>
      </w:r>
    </w:p>
    <w:tbl>
      <w:tblPr>
        <w:tblStyle w:val="TableGrid"/>
        <w:tblW w:type="auto" w:w="0"/>
        <w:tblLook w:firstColumn="1" w:firstRow="1" w:lastColumn="0" w:lastRow="0" w:noHBand="0" w:noVBand="1" w:val="04A0"/>
      </w:tblPr>
      <w:tblGrid>
        <w:gridCol w:w="3552"/>
        <w:gridCol w:w="3552"/>
        <w:gridCol w:w="3552"/>
      </w:tblGrid>
      <w:tr>
        <w:tc>
          <w:tcPr>
            <w:tcW w:type="dxa" w:w="3552"/>
            <w:shd w:fill="1A365D" w:val="clear"/>
          </w:tcPr>
          <w:p>
            <w:r>
              <w:rPr>
                <w:rFonts w:ascii="Arial" w:hAnsi="Arial"/>
                <w:b/>
                <w:i w:val="0"/>
                <w:color w:val="FFFFFF"/>
                <w:sz w:val="16"/>
              </w:rPr>
              <w:t>FR No.</w:t>
            </w:r>
          </w:p>
        </w:tc>
        <w:tc>
          <w:tcPr>
            <w:tcW w:type="dxa" w:w="3552"/>
            <w:shd w:fill="1A365D" w:val="clear"/>
          </w:tcPr>
          <w:p>
            <w:r>
              <w:rPr>
                <w:rFonts w:ascii="Arial" w:hAnsi="Arial"/>
                <w:b/>
                <w:i w:val="0"/>
                <w:color w:val="FFFFFF"/>
                <w:sz w:val="16"/>
              </w:rPr>
              <w:t>Functional Requirement (Epic)</w:t>
            </w:r>
          </w:p>
        </w:tc>
        <w:tc>
          <w:tcPr>
            <w:tcW w:type="dxa" w:w="3552"/>
            <w:shd w:fill="1A365D" w:val="clear"/>
          </w:tcPr>
          <w:p>
            <w:r>
              <w:rPr>
                <w:rFonts w:ascii="Arial" w:hAnsi="Arial"/>
                <w:b/>
                <w:i w:val="0"/>
                <w:color w:val="FFFFFF"/>
                <w:sz w:val="16"/>
              </w:rPr>
              <w:t>Sub Requirement (Story / Sub-Task)</w:t>
            </w:r>
          </w:p>
        </w:tc>
      </w:tr>
      <w:tr>
        <w:tc>
          <w:tcPr>
            <w:tcW w:type="dxa" w:w="3552"/>
            <w:shd w:fill="E3F2FD" w:val="clear"/>
          </w:tcPr>
          <w:p>
            <w:r>
              <w:rPr>
                <w:rFonts w:ascii="Arial" w:hAnsi="Arial"/>
                <w:b/>
                <w:i w:val="0"/>
                <w:sz w:val="14"/>
              </w:rPr>
              <w:t>FR-1</w:t>
            </w:r>
          </w:p>
        </w:tc>
        <w:tc>
          <w:tcPr>
            <w:tcW w:type="dxa" w:w="3552"/>
          </w:tcPr>
          <w:p>
            <w:r>
              <w:rPr>
                <w:rFonts w:ascii="Arial" w:hAnsi="Arial"/>
                <w:b/>
                <w:i w:val="0"/>
                <w:sz w:val="14"/>
              </w:rPr>
              <w:t>Ticket Ingestion &amp; Trigger</w:t>
            </w:r>
          </w:p>
        </w:tc>
        <w:tc>
          <w:tcPr>
            <w:tcW w:type="dxa" w:w="3552"/>
          </w:tcPr>
          <w:p>
            <w:r>
              <w:rPr>
                <w:rFonts w:ascii="Arial" w:hAnsi="Arial"/>
                <w:b w:val="0"/>
                <w:i w:val="0"/>
                <w:sz w:val="14"/>
              </w:rPr>
              <w:t>• Trigger Flow on Ticket/Incident record creation</w:t>
              <w:br/>
              <w:t>• Capture Short Description, Description, Caller, CI, Urgency, Impact</w:t>
              <w:br/>
              <w:t>• Support both Incident and Catalog Request tickets</w:t>
            </w:r>
          </w:p>
        </w:tc>
      </w:tr>
      <w:tr>
        <w:tc>
          <w:tcPr>
            <w:tcW w:type="dxa" w:w="3552"/>
            <w:shd w:fill="E3F2FD" w:val="clear"/>
          </w:tcPr>
          <w:p>
            <w:r>
              <w:rPr>
                <w:rFonts w:ascii="Arial" w:hAnsi="Arial"/>
                <w:b/>
                <w:i w:val="0"/>
                <w:sz w:val="14"/>
              </w:rPr>
              <w:t>FR-2</w:t>
            </w:r>
          </w:p>
        </w:tc>
        <w:tc>
          <w:tcPr>
            <w:tcW w:type="dxa" w:w="3552"/>
          </w:tcPr>
          <w:p>
            <w:r>
              <w:rPr>
                <w:rFonts w:ascii="Arial" w:hAnsi="Arial"/>
                <w:b/>
                <w:i w:val="0"/>
                <w:sz w:val="14"/>
              </w:rPr>
              <w:t>Automated Classification</w:t>
            </w:r>
          </w:p>
        </w:tc>
        <w:tc>
          <w:tcPr>
            <w:tcW w:type="dxa" w:w="3552"/>
          </w:tcPr>
          <w:p>
            <w:r>
              <w:rPr>
                <w:rFonts w:ascii="Arial" w:hAnsi="Arial"/>
                <w:b w:val="0"/>
                <w:i w:val="0"/>
                <w:sz w:val="14"/>
              </w:rPr>
              <w:t>• Classify Category and Subcategory from free text</w:t>
              <w:br/>
              <w:t>• Determine Priority (or recalculate based on content)</w:t>
              <w:br/>
              <w:t>• Recommend / set Assignment Group</w:t>
              <w:br/>
              <w:t>• Return Confidence Score for each prediction</w:t>
            </w:r>
          </w:p>
        </w:tc>
      </w:tr>
      <w:tr>
        <w:tc>
          <w:tcPr>
            <w:tcW w:type="dxa" w:w="3552"/>
            <w:shd w:fill="E3F2FD" w:val="clear"/>
          </w:tcPr>
          <w:p>
            <w:r>
              <w:rPr>
                <w:rFonts w:ascii="Arial" w:hAnsi="Arial"/>
                <w:b/>
                <w:i w:val="0"/>
                <w:sz w:val="14"/>
              </w:rPr>
              <w:t>FR-3</w:t>
            </w:r>
          </w:p>
        </w:tc>
        <w:tc>
          <w:tcPr>
            <w:tcW w:type="dxa" w:w="3552"/>
          </w:tcPr>
          <w:p>
            <w:r>
              <w:rPr>
                <w:rFonts w:ascii="Arial" w:hAnsi="Arial"/>
                <w:b/>
                <w:i w:val="0"/>
                <w:sz w:val="14"/>
              </w:rPr>
              <w:t>Hybrid Decision Engine</w:t>
            </w:r>
          </w:p>
        </w:tc>
        <w:tc>
          <w:tcPr>
            <w:tcW w:type="dxa" w:w="3552"/>
          </w:tcPr>
          <w:p>
            <w:r>
              <w:rPr>
                <w:rFonts w:ascii="Arial" w:hAnsi="Arial"/>
                <w:b w:val="0"/>
                <w:i w:val="0"/>
                <w:sz w:val="14"/>
              </w:rPr>
              <w:t>• Apply rule-based / keyword matching first for high-confidence cases</w:t>
              <w:br/>
              <w:t>• Fall back to AI / ML model for remaining tickets</w:t>
              <w:br/>
              <w:t>• Configurable confidence threshold (default 0.75)</w:t>
            </w:r>
          </w:p>
        </w:tc>
      </w:tr>
      <w:tr>
        <w:tc>
          <w:tcPr>
            <w:tcW w:type="dxa" w:w="3552"/>
            <w:shd w:fill="E3F2FD" w:val="clear"/>
          </w:tcPr>
          <w:p>
            <w:r>
              <w:rPr>
                <w:rFonts w:ascii="Arial" w:hAnsi="Arial"/>
                <w:b/>
                <w:i w:val="0"/>
                <w:sz w:val="14"/>
              </w:rPr>
              <w:t>FR-4</w:t>
            </w:r>
          </w:p>
        </w:tc>
        <w:tc>
          <w:tcPr>
            <w:tcW w:type="dxa" w:w="3552"/>
          </w:tcPr>
          <w:p>
            <w:r>
              <w:rPr>
                <w:rFonts w:ascii="Arial" w:hAnsi="Arial"/>
                <w:b/>
                <w:i w:val="0"/>
                <w:sz w:val="14"/>
              </w:rPr>
              <w:t>Ticket Update &amp; Routing</w:t>
            </w:r>
          </w:p>
        </w:tc>
        <w:tc>
          <w:tcPr>
            <w:tcW w:type="dxa" w:w="3552"/>
          </w:tcPr>
          <w:p>
            <w:r>
              <w:rPr>
                <w:rFonts w:ascii="Arial" w:hAnsi="Arial"/>
                <w:b w:val="0"/>
                <w:i w:val="0"/>
                <w:sz w:val="14"/>
              </w:rPr>
              <w:t>• Automatically update Category, Subcategory, Priority, Assignment Group</w:t>
              <w:br/>
              <w:t>• Re-assign ticket to the recommended group</w:t>
              <w:br/>
              <w:t>• Set work notes with classification explanation</w:t>
            </w:r>
          </w:p>
        </w:tc>
      </w:tr>
      <w:tr>
        <w:tc>
          <w:tcPr>
            <w:tcW w:type="dxa" w:w="3552"/>
            <w:shd w:fill="E3F2FD" w:val="clear"/>
          </w:tcPr>
          <w:p>
            <w:r>
              <w:rPr>
                <w:rFonts w:ascii="Arial" w:hAnsi="Arial"/>
                <w:b/>
                <w:i w:val="0"/>
                <w:sz w:val="14"/>
              </w:rPr>
              <w:t>FR-5</w:t>
            </w:r>
          </w:p>
        </w:tc>
        <w:tc>
          <w:tcPr>
            <w:tcW w:type="dxa" w:w="3552"/>
          </w:tcPr>
          <w:p>
            <w:r>
              <w:rPr>
                <w:rFonts w:ascii="Arial" w:hAnsi="Arial"/>
                <w:b/>
                <w:i w:val="0"/>
                <w:sz w:val="14"/>
              </w:rPr>
              <w:t>Manual Review Fallback</w:t>
            </w:r>
          </w:p>
        </w:tc>
        <w:tc>
          <w:tcPr>
            <w:tcW w:type="dxa" w:w="3552"/>
          </w:tcPr>
          <w:p>
            <w:r>
              <w:rPr>
                <w:rFonts w:ascii="Arial" w:hAnsi="Arial"/>
                <w:b w:val="0"/>
                <w:i w:val="0"/>
                <w:sz w:val="14"/>
              </w:rPr>
              <w:t>• If confidence &lt; threshold → route to dedicated Manual Review queue</w:t>
              <w:br/>
              <w:t>• Notify assigned agent / group</w:t>
              <w:br/>
              <w:t>• Preserve original ticket data</w:t>
            </w:r>
          </w:p>
        </w:tc>
      </w:tr>
      <w:tr>
        <w:tc>
          <w:tcPr>
            <w:tcW w:type="dxa" w:w="3552"/>
            <w:shd w:fill="E3F2FD" w:val="clear"/>
          </w:tcPr>
          <w:p>
            <w:r>
              <w:rPr>
                <w:rFonts w:ascii="Arial" w:hAnsi="Arial"/>
                <w:b/>
                <w:i w:val="0"/>
                <w:sz w:val="14"/>
              </w:rPr>
              <w:t>FR-6</w:t>
            </w:r>
          </w:p>
        </w:tc>
        <w:tc>
          <w:tcPr>
            <w:tcW w:type="dxa" w:w="3552"/>
          </w:tcPr>
          <w:p>
            <w:r>
              <w:rPr>
                <w:rFonts w:ascii="Arial" w:hAnsi="Arial"/>
                <w:b/>
                <w:i w:val="0"/>
                <w:sz w:val="14"/>
              </w:rPr>
              <w:t>Agent Feedback Loop</w:t>
            </w:r>
          </w:p>
        </w:tc>
        <w:tc>
          <w:tcPr>
            <w:tcW w:type="dxa" w:w="3552"/>
          </w:tcPr>
          <w:p>
            <w:r>
              <w:rPr>
                <w:rFonts w:ascii="Arial" w:hAnsi="Arial"/>
                <w:b w:val="0"/>
                <w:i w:val="0"/>
                <w:sz w:val="14"/>
              </w:rPr>
              <w:t>• Provide “Correct / Incorrect” feedback UI on classified tickets</w:t>
              <w:br/>
              <w:t>• Store feedback against original prediction</w:t>
              <w:br/>
              <w:t>• Use feedback data for model retraining / rule improvement</w:t>
            </w:r>
          </w:p>
        </w:tc>
      </w:tr>
      <w:tr>
        <w:tc>
          <w:tcPr>
            <w:tcW w:type="dxa" w:w="3552"/>
            <w:shd w:fill="E3F2FD" w:val="clear"/>
          </w:tcPr>
          <w:p>
            <w:r>
              <w:rPr>
                <w:rFonts w:ascii="Arial" w:hAnsi="Arial"/>
                <w:b/>
                <w:i w:val="0"/>
                <w:sz w:val="14"/>
              </w:rPr>
              <w:t>FR-7</w:t>
            </w:r>
          </w:p>
        </w:tc>
        <w:tc>
          <w:tcPr>
            <w:tcW w:type="dxa" w:w="3552"/>
          </w:tcPr>
          <w:p>
            <w:r>
              <w:rPr>
                <w:rFonts w:ascii="Arial" w:hAnsi="Arial"/>
                <w:b/>
                <w:i w:val="0"/>
                <w:sz w:val="14"/>
              </w:rPr>
              <w:t>Audit &amp; Explainability</w:t>
            </w:r>
          </w:p>
        </w:tc>
        <w:tc>
          <w:tcPr>
            <w:tcW w:type="dxa" w:w="3552"/>
          </w:tcPr>
          <w:p>
            <w:r>
              <w:rPr>
                <w:rFonts w:ascii="Arial" w:hAnsi="Arial"/>
                <w:b w:val="0"/>
                <w:i w:val="0"/>
                <w:sz w:val="14"/>
              </w:rPr>
              <w:t>• Log every classification decision (inputs, outputs, confidence, model version)</w:t>
              <w:br/>
              <w:t>• Store short explanation of why a category was chosen</w:t>
              <w:br/>
              <w:t>• Make logs queryable for audit and analytics</w:t>
            </w:r>
          </w:p>
        </w:tc>
      </w:tr>
      <w:tr>
        <w:tc>
          <w:tcPr>
            <w:tcW w:type="dxa" w:w="3552"/>
            <w:shd w:fill="E3F2FD" w:val="clear"/>
          </w:tcPr>
          <w:p>
            <w:r>
              <w:rPr>
                <w:rFonts w:ascii="Arial" w:hAnsi="Arial"/>
                <w:b/>
                <w:i w:val="0"/>
                <w:sz w:val="14"/>
              </w:rPr>
              <w:t>FR-8</w:t>
            </w:r>
          </w:p>
        </w:tc>
        <w:tc>
          <w:tcPr>
            <w:tcW w:type="dxa" w:w="3552"/>
          </w:tcPr>
          <w:p>
            <w:r>
              <w:rPr>
                <w:rFonts w:ascii="Arial" w:hAnsi="Arial"/>
                <w:b/>
                <w:i w:val="0"/>
                <w:sz w:val="14"/>
              </w:rPr>
              <w:t>Configuration &amp; Admin</w:t>
            </w:r>
          </w:p>
        </w:tc>
        <w:tc>
          <w:tcPr>
            <w:tcW w:type="dxa" w:w="3552"/>
          </w:tcPr>
          <w:p>
            <w:r>
              <w:rPr>
                <w:rFonts w:ascii="Arial" w:hAnsi="Arial"/>
                <w:b w:val="0"/>
                <w:i w:val="0"/>
                <w:sz w:val="14"/>
              </w:rPr>
              <w:t>• Admin can maintain keyword / decision tables</w:t>
              <w:br/>
              <w:t>• Admin can adjust confidence threshold</w:t>
              <w:br/>
              <w:t>• Admin can enable/disable auto-assignment</w:t>
              <w:br/>
              <w:t>• Support for multiple ticket types / catalogs</w:t>
            </w:r>
          </w:p>
        </w:tc>
      </w:tr>
      <w:tr>
        <w:tc>
          <w:tcPr>
            <w:tcW w:type="dxa" w:w="3552"/>
            <w:shd w:fill="E3F2FD" w:val="clear"/>
          </w:tcPr>
          <w:p>
            <w:r>
              <w:rPr>
                <w:rFonts w:ascii="Arial" w:hAnsi="Arial"/>
                <w:b/>
                <w:i w:val="0"/>
                <w:sz w:val="14"/>
              </w:rPr>
              <w:t>FR-9</w:t>
            </w:r>
          </w:p>
        </w:tc>
        <w:tc>
          <w:tcPr>
            <w:tcW w:type="dxa" w:w="3552"/>
          </w:tcPr>
          <w:p>
            <w:r>
              <w:rPr>
                <w:rFonts w:ascii="Arial" w:hAnsi="Arial"/>
                <w:b/>
                <w:i w:val="0"/>
                <w:sz w:val="14"/>
              </w:rPr>
              <w:t>Reporting &amp; Monitoring</w:t>
            </w:r>
          </w:p>
        </w:tc>
        <w:tc>
          <w:tcPr>
            <w:tcW w:type="dxa" w:w="3552"/>
          </w:tcPr>
          <w:p>
            <w:r>
              <w:rPr>
                <w:rFonts w:ascii="Arial" w:hAnsi="Arial"/>
                <w:b w:val="0"/>
                <w:i w:val="0"/>
                <w:sz w:val="14"/>
              </w:rPr>
              <w:t>• Dashboard: classification accuracy, volume, average confidence, override rate</w:t>
              <w:br/>
              <w:t>• Alerts on sudden drop in confidence or high manual review volume</w:t>
            </w:r>
          </w:p>
        </w:tc>
      </w:tr>
      <w:tr>
        <w:tc>
          <w:tcPr>
            <w:tcW w:type="dxa" w:w="3552"/>
            <w:shd w:fill="E3F2FD" w:val="clear"/>
          </w:tcPr>
          <w:p>
            <w:r>
              <w:rPr>
                <w:rFonts w:ascii="Arial" w:hAnsi="Arial"/>
                <w:b/>
                <w:i w:val="0"/>
                <w:sz w:val="14"/>
              </w:rPr>
              <w:t>FR-10</w:t>
            </w:r>
          </w:p>
        </w:tc>
        <w:tc>
          <w:tcPr>
            <w:tcW w:type="dxa" w:w="3552"/>
          </w:tcPr>
          <w:p>
            <w:r>
              <w:rPr>
                <w:rFonts w:ascii="Arial" w:hAnsi="Arial"/>
                <w:b/>
                <w:i w:val="0"/>
                <w:sz w:val="14"/>
              </w:rPr>
              <w:t>Integration Points</w:t>
            </w:r>
          </w:p>
        </w:tc>
        <w:tc>
          <w:tcPr>
            <w:tcW w:type="dxa" w:w="3552"/>
          </w:tcPr>
          <w:p>
            <w:r>
              <w:rPr>
                <w:rFonts w:ascii="Arial" w:hAnsi="Arial"/>
                <w:b w:val="0"/>
                <w:i w:val="0"/>
                <w:sz w:val="14"/>
              </w:rPr>
              <w:t>• Optional call to external AI endpoint (Azure OpenAI, custom model)</w:t>
              <w:br/>
              <w:t>• Optional enrichment from CMDB / User profile for priority boost</w:t>
            </w:r>
          </w:p>
        </w:tc>
      </w:tr>
    </w:tbl>
    <w:p>
      <w:r>
        <w:rPr>
          <w:rFonts w:ascii="Arial" w:hAnsi="Arial"/>
          <w:b/>
          <w:i w:val="0"/>
          <w:color w:val="1A365D"/>
          <w:sz w:val="22"/>
        </w:rPr>
        <w:t>Non-functional Requirements:</w:t>
      </w:r>
    </w:p>
    <w:p>
      <w:r>
        <w:rPr>
          <w:rFonts w:ascii="Arial" w:hAnsi="Arial"/>
          <w:b w:val="0"/>
          <w:i w:val="0"/>
          <w:sz w:val="18"/>
        </w:rPr>
        <w:t>Following are the non-functional requirements of the proposed solution.</w:t>
      </w:r>
    </w:p>
    <w:tbl>
      <w:tblPr>
        <w:tblStyle w:val="TableGrid"/>
        <w:tblW w:type="auto" w:w="0"/>
        <w:tblLook w:firstColumn="1" w:firstRow="1" w:lastColumn="0" w:lastRow="0" w:noHBand="0" w:noVBand="1" w:val="04A0"/>
      </w:tblPr>
      <w:tblGrid>
        <w:gridCol w:w="3552"/>
        <w:gridCol w:w="3552"/>
        <w:gridCol w:w="3552"/>
      </w:tblGrid>
      <w:tr>
        <w:tc>
          <w:tcPr>
            <w:tcW w:type="dxa" w:w="3552"/>
            <w:shd w:fill="1A365D" w:val="clear"/>
          </w:tcPr>
          <w:p>
            <w:r>
              <w:rPr>
                <w:rFonts w:ascii="Arial" w:hAnsi="Arial"/>
                <w:b/>
                <w:i w:val="0"/>
                <w:color w:val="FFFFFF"/>
                <w:sz w:val="16"/>
              </w:rPr>
              <w:t>NFR No.</w:t>
            </w:r>
          </w:p>
        </w:tc>
        <w:tc>
          <w:tcPr>
            <w:tcW w:type="dxa" w:w="3552"/>
            <w:shd w:fill="1A365D" w:val="clear"/>
          </w:tcPr>
          <w:p>
            <w:r>
              <w:rPr>
                <w:rFonts w:ascii="Arial" w:hAnsi="Arial"/>
                <w:b/>
                <w:i w:val="0"/>
                <w:color w:val="FFFFFF"/>
                <w:sz w:val="16"/>
              </w:rPr>
              <w:t>Non-Functional Requirement</w:t>
            </w:r>
          </w:p>
        </w:tc>
        <w:tc>
          <w:tcPr>
            <w:tcW w:type="dxa" w:w="3552"/>
            <w:shd w:fill="1A365D" w:val="clear"/>
          </w:tcPr>
          <w:p>
            <w:r>
              <w:rPr>
                <w:rFonts w:ascii="Arial" w:hAnsi="Arial"/>
                <w:b/>
                <w:i w:val="0"/>
                <w:color w:val="FFFFFF"/>
                <w:sz w:val="16"/>
              </w:rPr>
              <w:t>Description</w:t>
            </w:r>
          </w:p>
        </w:tc>
      </w:tr>
      <w:tr>
        <w:tc>
          <w:tcPr>
            <w:tcW w:type="dxa" w:w="3552"/>
            <w:shd w:fill="E8F5E9" w:val="clear"/>
          </w:tcPr>
          <w:p>
            <w:r>
              <w:rPr>
                <w:rFonts w:ascii="Arial" w:hAnsi="Arial"/>
                <w:b/>
                <w:i w:val="0"/>
                <w:sz w:val="14"/>
              </w:rPr>
              <w:t>NFR-1</w:t>
            </w:r>
          </w:p>
        </w:tc>
        <w:tc>
          <w:tcPr>
            <w:tcW w:type="dxa" w:w="3552"/>
          </w:tcPr>
          <w:p>
            <w:r>
              <w:rPr>
                <w:rFonts w:ascii="Arial" w:hAnsi="Arial"/>
                <w:b/>
                <w:i w:val="0"/>
                <w:sz w:val="14"/>
              </w:rPr>
              <w:t>Usability</w:t>
            </w:r>
          </w:p>
        </w:tc>
        <w:tc>
          <w:tcPr>
            <w:tcW w:type="dxa" w:w="3552"/>
          </w:tcPr>
          <w:p>
            <w:r>
              <w:rPr>
                <w:rFonts w:ascii="Arial" w:hAnsi="Arial"/>
                <w:b w:val="0"/>
                <w:i w:val="0"/>
                <w:sz w:val="14"/>
              </w:rPr>
              <w:t>Classification results and confidence must be clearly visible in Agent Workspace. Override and feedback actions should require ≤ 2 clicks. Explanation text must be human-readable.</w:t>
            </w:r>
          </w:p>
        </w:tc>
      </w:tr>
      <w:tr>
        <w:tc>
          <w:tcPr>
            <w:tcW w:type="dxa" w:w="3552"/>
            <w:shd w:fill="E8F5E9" w:val="clear"/>
          </w:tcPr>
          <w:p>
            <w:r>
              <w:rPr>
                <w:rFonts w:ascii="Arial" w:hAnsi="Arial"/>
                <w:b/>
                <w:i w:val="0"/>
                <w:sz w:val="14"/>
              </w:rPr>
              <w:t>NFR-2</w:t>
            </w:r>
          </w:p>
        </w:tc>
        <w:tc>
          <w:tcPr>
            <w:tcW w:type="dxa" w:w="3552"/>
          </w:tcPr>
          <w:p>
            <w:r>
              <w:rPr>
                <w:rFonts w:ascii="Arial" w:hAnsi="Arial"/>
                <w:b/>
                <w:i w:val="0"/>
                <w:sz w:val="14"/>
              </w:rPr>
              <w:t>Security</w:t>
            </w:r>
          </w:p>
        </w:tc>
        <w:tc>
          <w:tcPr>
            <w:tcW w:type="dxa" w:w="3552"/>
          </w:tcPr>
          <w:p>
            <w:r>
              <w:rPr>
                <w:rFonts w:ascii="Arial" w:hAnsi="Arial"/>
                <w:b w:val="0"/>
                <w:i w:val="0"/>
                <w:sz w:val="14"/>
              </w:rPr>
              <w:t>All classification actions run under controlled service account with least privilege. Full audit trail of who/what changed Category/Assignment. Data encrypted in transit (TLS) and at rest. No PII sent to external AI without redaction or approved DPA.</w:t>
            </w:r>
          </w:p>
        </w:tc>
      </w:tr>
      <w:tr>
        <w:tc>
          <w:tcPr>
            <w:tcW w:type="dxa" w:w="3552"/>
            <w:shd w:fill="E8F5E9" w:val="clear"/>
          </w:tcPr>
          <w:p>
            <w:r>
              <w:rPr>
                <w:rFonts w:ascii="Arial" w:hAnsi="Arial"/>
                <w:b/>
                <w:i w:val="0"/>
                <w:sz w:val="14"/>
              </w:rPr>
              <w:t>NFR-3</w:t>
            </w:r>
          </w:p>
        </w:tc>
        <w:tc>
          <w:tcPr>
            <w:tcW w:type="dxa" w:w="3552"/>
          </w:tcPr>
          <w:p>
            <w:r>
              <w:rPr>
                <w:rFonts w:ascii="Arial" w:hAnsi="Arial"/>
                <w:b/>
                <w:i w:val="0"/>
                <w:sz w:val="14"/>
              </w:rPr>
              <w:t>Reliability</w:t>
            </w:r>
          </w:p>
        </w:tc>
        <w:tc>
          <w:tcPr>
            <w:tcW w:type="dxa" w:w="3552"/>
          </w:tcPr>
          <w:p>
            <w:r>
              <w:rPr>
                <w:rFonts w:ascii="Arial" w:hAnsi="Arial"/>
                <w:b w:val="0"/>
                <w:i w:val="0"/>
                <w:sz w:val="14"/>
              </w:rPr>
              <w:t>Flow must be resilient: retries on transient failures, fallback to Manual Review on any classification error. No ticket should be left unassigned due to flow failure. Target success rate of auto-classification path ≥ 99.5%.</w:t>
            </w:r>
          </w:p>
        </w:tc>
      </w:tr>
      <w:tr>
        <w:tc>
          <w:tcPr>
            <w:tcW w:type="dxa" w:w="3552"/>
            <w:shd w:fill="E8F5E9" w:val="clear"/>
          </w:tcPr>
          <w:p>
            <w:r>
              <w:rPr>
                <w:rFonts w:ascii="Arial" w:hAnsi="Arial"/>
                <w:b/>
                <w:i w:val="0"/>
                <w:sz w:val="14"/>
              </w:rPr>
              <w:t>NFR-4</w:t>
            </w:r>
          </w:p>
        </w:tc>
        <w:tc>
          <w:tcPr>
            <w:tcW w:type="dxa" w:w="3552"/>
          </w:tcPr>
          <w:p>
            <w:r>
              <w:rPr>
                <w:rFonts w:ascii="Arial" w:hAnsi="Arial"/>
                <w:b/>
                <w:i w:val="0"/>
                <w:sz w:val="14"/>
              </w:rPr>
              <w:t>Performance</w:t>
            </w:r>
          </w:p>
        </w:tc>
        <w:tc>
          <w:tcPr>
            <w:tcW w:type="dxa" w:w="3552"/>
          </w:tcPr>
          <w:p>
            <w:r>
              <w:rPr>
                <w:rFonts w:ascii="Arial" w:hAnsi="Arial"/>
                <w:b w:val="0"/>
                <w:i w:val="0"/>
                <w:sz w:val="14"/>
              </w:rPr>
              <w:t>End-to-end classification + update must complete within 5 seconds for 95% of tickets. Support peak load of at least 500 tickets/hour without degradation. Caching of frequent patterns recommended.</w:t>
            </w:r>
          </w:p>
        </w:tc>
      </w:tr>
      <w:tr>
        <w:tc>
          <w:tcPr>
            <w:tcW w:type="dxa" w:w="3552"/>
            <w:shd w:fill="E8F5E9" w:val="clear"/>
          </w:tcPr>
          <w:p>
            <w:r>
              <w:rPr>
                <w:rFonts w:ascii="Arial" w:hAnsi="Arial"/>
                <w:b/>
                <w:i w:val="0"/>
                <w:sz w:val="14"/>
              </w:rPr>
              <w:t>NFR-5</w:t>
            </w:r>
          </w:p>
        </w:tc>
        <w:tc>
          <w:tcPr>
            <w:tcW w:type="dxa" w:w="3552"/>
          </w:tcPr>
          <w:p>
            <w:r>
              <w:rPr>
                <w:rFonts w:ascii="Arial" w:hAnsi="Arial"/>
                <w:b/>
                <w:i w:val="0"/>
                <w:sz w:val="14"/>
              </w:rPr>
              <w:t>Availability</w:t>
            </w:r>
          </w:p>
        </w:tc>
        <w:tc>
          <w:tcPr>
            <w:tcW w:type="dxa" w:w="3552"/>
          </w:tcPr>
          <w:p>
            <w:r>
              <w:rPr>
                <w:rFonts w:ascii="Arial" w:hAnsi="Arial"/>
                <w:b w:val="0"/>
                <w:i w:val="0"/>
                <w:sz w:val="14"/>
              </w:rPr>
              <w:t>Solution availability follows platform SLA (typically 99.9%). Manual Review queue acts as safety net so business process continues even if AI path is temporarily unavailable.</w:t>
            </w:r>
          </w:p>
        </w:tc>
      </w:tr>
      <w:tr>
        <w:tc>
          <w:tcPr>
            <w:tcW w:type="dxa" w:w="3552"/>
            <w:shd w:fill="E8F5E9" w:val="clear"/>
          </w:tcPr>
          <w:p>
            <w:r>
              <w:rPr>
                <w:rFonts w:ascii="Arial" w:hAnsi="Arial"/>
                <w:b/>
                <w:i w:val="0"/>
                <w:sz w:val="14"/>
              </w:rPr>
              <w:t>NFR-6</w:t>
            </w:r>
          </w:p>
        </w:tc>
        <w:tc>
          <w:tcPr>
            <w:tcW w:type="dxa" w:w="3552"/>
          </w:tcPr>
          <w:p>
            <w:r>
              <w:rPr>
                <w:rFonts w:ascii="Arial" w:hAnsi="Arial"/>
                <w:b/>
                <w:i w:val="0"/>
                <w:sz w:val="14"/>
              </w:rPr>
              <w:t>Scalability</w:t>
            </w:r>
          </w:p>
        </w:tc>
        <w:tc>
          <w:tcPr>
            <w:tcW w:type="dxa" w:w="3552"/>
          </w:tcPr>
          <w:p>
            <w:r>
              <w:rPr>
                <w:rFonts w:ascii="Arial" w:hAnsi="Arial"/>
                <w:b w:val="0"/>
                <w:i w:val="0"/>
                <w:sz w:val="14"/>
              </w:rPr>
              <w:t>Architecture must scale horizontally with platform capacity. Design must support growth from hundreds to tens of thousands of tickets per day without redesign of core flow. Model training can be offline/batch.</w:t>
            </w:r>
          </w:p>
        </w:tc>
      </w:tr>
    </w:tbl>
    <w:p>
      <w:pPr>
        <w:jc w:val="center"/>
      </w:pPr>
      <w:r>
        <w:rPr>
          <w:rFonts w:ascii="Arial" w:hAnsi="Arial"/>
          <w:b w:val="0"/>
          <w:i w:val="0"/>
          <w:color w:val="757575"/>
          <w:sz w:val="16"/>
        </w:rPr>
        <w:t>Project: Auto Ticket Classification using Flow Designer  |  Design Phase-II  |  Team ID: 6ab8f5efc23107aaaa7325ec</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