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GenAI Functional &amp; Performance Testing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03 October 2026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6ab8f5efc23107aaaa7325ec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1A365D"/>
          <w:sz w:val="28"/>
        </w:rPr>
        <w:t>GenAI Functional &amp; Performance Testing</w:t>
      </w:r>
    </w:p>
    <w:p>
      <w:r>
        <w:rPr>
          <w:rFonts w:ascii="Arial" w:hAnsi="Arial"/>
          <w:b w:val="0"/>
          <w:sz w:val="18"/>
        </w:rPr>
        <w:t>Applicable when an external Generative AI / LLM endpoint is used as the classification engine.</w:t>
      </w:r>
    </w:p>
    <w:p>
      <w:r>
        <w:rPr>
          <w:rFonts w:ascii="Arial" w:hAnsi="Arial"/>
          <w:b/>
          <w:color w:val="1A365D"/>
          <w:sz w:val="22"/>
        </w:rPr>
        <w:t>Functional Checks</w:t>
      </w:r>
    </w:p>
    <w:p>
      <w:r>
        <w:rPr>
          <w:rFonts w:ascii="Arial" w:hAnsi="Arial"/>
          <w:b w:val="0"/>
          <w:sz w:val="18"/>
        </w:rPr>
        <w:t>• Prompt correctly sends ticket text and expected output schema</w:t>
      </w:r>
    </w:p>
    <w:p>
      <w:r>
        <w:rPr>
          <w:rFonts w:ascii="Arial" w:hAnsi="Arial"/>
          <w:b w:val="0"/>
          <w:sz w:val="18"/>
        </w:rPr>
        <w:t>• Response is parsed into Category, Priority, Assignment Group, Confidence, Explanation</w:t>
      </w:r>
    </w:p>
    <w:p>
      <w:r>
        <w:rPr>
          <w:rFonts w:ascii="Arial" w:hAnsi="Arial"/>
          <w:b w:val="0"/>
          <w:sz w:val="18"/>
        </w:rPr>
        <w:t>• Invalid / empty response triggers Manual Review path</w:t>
      </w:r>
    </w:p>
    <w:p>
      <w:r>
        <w:rPr>
          <w:rFonts w:ascii="Arial" w:hAnsi="Arial"/>
          <w:b w:val="0"/>
          <w:sz w:val="18"/>
        </w:rPr>
        <w:t>• Explanation text is human-readable</w:t>
      </w:r>
    </w:p>
    <w:p>
      <w:r>
        <w:rPr>
          <w:rFonts w:ascii="Arial" w:hAnsi="Arial"/>
          <w:b/>
          <w:color w:val="1A365D"/>
          <w:sz w:val="22"/>
        </w:rPr>
        <w:t>Performance Checks</w:t>
      </w:r>
    </w:p>
    <w:p>
      <w:r>
        <w:rPr>
          <w:rFonts w:ascii="Arial" w:hAnsi="Arial"/>
          <w:b w:val="0"/>
          <w:sz w:val="18"/>
        </w:rPr>
        <w:t>• Average and 95th percentile latency of GenAI call</w:t>
      </w:r>
    </w:p>
    <w:p>
      <w:r>
        <w:rPr>
          <w:rFonts w:ascii="Arial" w:hAnsi="Arial"/>
          <w:b w:val="0"/>
          <w:sz w:val="18"/>
        </w:rPr>
        <w:t>• Timeout handling and retry policy</w:t>
      </w:r>
    </w:p>
    <w:p>
      <w:r>
        <w:rPr>
          <w:rFonts w:ascii="Arial" w:hAnsi="Arial"/>
          <w:b w:val="0"/>
          <w:sz w:val="18"/>
        </w:rPr>
        <w:t>• Rate-limit behaviour under concurrent ticket creation</w:t>
      </w:r>
    </w:p>
    <w:p>
      <w:r>
        <w:rPr>
          <w:rFonts w:ascii="Arial" w:hAnsi="Arial"/>
          <w:b w:val="0"/>
          <w:sz w:val="18"/>
        </w:rPr>
        <w:t>• Cost / token usage monitoring (if applicable)</w:t>
      </w:r>
    </w:p>
    <w:p>
      <w:r>
        <w:rPr>
          <w:rFonts w:ascii="Arial" w:hAnsi="Arial"/>
          <w:b w:val="0"/>
          <w:sz w:val="18"/>
        </w:rPr>
        <w:t>Project Status: Optional path – tested only if external GenAI is enabled.</w:t>
      </w:r>
    </w:p>
    <w:p>
      <w:pPr>
        <w:jc w:val="center"/>
      </w:pPr>
      <w:r>
        <w:rPr>
          <w:rFonts w:ascii="Arial" w:hAnsi="Arial"/>
          <w:b w:val="0"/>
          <w:color w:val="757575"/>
          <w:sz w:val="16"/>
        </w:rPr>
        <w:t>Team ID: 6ab8f5efc23107aaaa7325ec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