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Machine Learning – Testing Notes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03 October 2026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6ab8f5efc23107aaaa7325ec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1A365D"/>
          <w:sz w:val="28"/>
        </w:rPr>
        <w:t>Machine Learning</w:t>
      </w:r>
    </w:p>
    <w:p>
      <w:r>
        <w:rPr>
          <w:rFonts w:ascii="Arial" w:hAnsi="Arial"/>
          <w:b w:val="0"/>
          <w:sz w:val="18"/>
        </w:rPr>
        <w:t>The classification model (platform Predictive Intelligence or custom ML model) is treated as a black-box service from the Flow Designer perspective.</w:t>
      </w:r>
    </w:p>
    <w:p>
      <w:r>
        <w:rPr>
          <w:rFonts w:ascii="Arial" w:hAnsi="Arial"/>
          <w:b/>
          <w:color w:val="1A365D"/>
          <w:sz w:val="22"/>
        </w:rPr>
        <w:t>ML Test Focus for this Project</w:t>
      </w:r>
    </w:p>
    <w:p>
      <w:r>
        <w:rPr>
          <w:rFonts w:ascii="Arial" w:hAnsi="Arial"/>
          <w:b w:val="0"/>
          <w:sz w:val="18"/>
        </w:rPr>
        <w:t>• Model returns expected fields (Category, Priority, Assignment Group, Confidence)</w:t>
      </w:r>
    </w:p>
    <w:p>
      <w:r>
        <w:rPr>
          <w:rFonts w:ascii="Arial" w:hAnsi="Arial"/>
          <w:b w:val="0"/>
          <w:sz w:val="18"/>
        </w:rPr>
        <w:t>• Confidence threshold correctly routes low-confidence tickets</w:t>
      </w:r>
    </w:p>
    <w:p>
      <w:r>
        <w:rPr>
          <w:rFonts w:ascii="Arial" w:hAnsi="Arial"/>
          <w:b w:val="0"/>
          <w:sz w:val="18"/>
        </w:rPr>
        <w:t>• Model version is recorded in the audit log</w:t>
      </w:r>
    </w:p>
    <w:p>
      <w:r>
        <w:rPr>
          <w:rFonts w:ascii="Arial" w:hAnsi="Arial"/>
          <w:b w:val="0"/>
          <w:sz w:val="18"/>
        </w:rPr>
        <w:t>• Retraining / feedback data can be collected for future model improvement</w:t>
      </w:r>
    </w:p>
    <w:p>
      <w:r>
        <w:rPr>
          <w:rFonts w:ascii="Arial" w:hAnsi="Arial"/>
          <w:b w:val="0"/>
          <w:sz w:val="18"/>
        </w:rPr>
        <w:t>• No regression in accuracy after model update</w:t>
      </w:r>
    </w:p>
    <w:p>
      <w:r>
        <w:rPr>
          <w:rFonts w:ascii="Arial" w:hAnsi="Arial"/>
          <w:b w:val="0"/>
          <w:sz w:val="18"/>
        </w:rPr>
        <w:t>Performance aspect is covered in the main Performance Testing results (AI path latency).</w:t>
      </w:r>
    </w:p>
    <w:p>
      <w:pPr>
        <w:jc w:val="center"/>
      </w:pPr>
      <w:r>
        <w:rPr>
          <w:rFonts w:ascii="Arial" w:hAnsi="Arial"/>
          <w:b w:val="0"/>
          <w:color w:val="757575"/>
          <w:sz w:val="16"/>
        </w:rPr>
        <w:t>Team ID: 6ab8f5efc23107aaaa7325ec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