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A365D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5184"/>
          </w:tcPr>
          <w:p>
            <w:r>
              <w:rPr>
                <w:rFonts w:ascii="Arial" w:hAnsi="Arial"/>
                <w:b w:val="0"/>
                <w:sz w:val="18"/>
              </w:rPr>
              <w:t>Power BI – Reporting Notes</w:t>
            </w:r>
          </w:p>
        </w:tc>
      </w:tr>
      <w:tr>
        <w:tc>
          <w:tcPr>
            <w:tcW w:type="dxa" w:w="5184"/>
            <w:shd w:fill="1A365D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Project Name</w:t>
            </w:r>
          </w:p>
        </w:tc>
        <w:tc>
          <w:tcPr>
            <w:tcW w:type="dxa" w:w="5184"/>
          </w:tcPr>
          <w:p>
            <w:r>
              <w:rPr>
                <w:rFonts w:ascii="Arial" w:hAnsi="Arial"/>
                <w:b w:val="0"/>
                <w:sz w:val="18"/>
              </w:rPr>
              <w:t>Auto Ticket Classification using Flow Designer</w:t>
            </w:r>
          </w:p>
        </w:tc>
      </w:tr>
      <w:tr>
        <w:tc>
          <w:tcPr>
            <w:tcW w:type="dxa" w:w="5184"/>
            <w:shd w:fill="1A365D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5184"/>
          </w:tcPr>
          <w:p>
            <w:r>
              <w:rPr>
                <w:rFonts w:ascii="Arial" w:hAnsi="Arial"/>
                <w:b w:val="0"/>
                <w:sz w:val="18"/>
              </w:rPr>
              <w:t>03 October 2026</w:t>
            </w:r>
          </w:p>
        </w:tc>
      </w:tr>
      <w:tr>
        <w:tc>
          <w:tcPr>
            <w:tcW w:type="dxa" w:w="5184"/>
            <w:shd w:fill="1A365D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Team ID</w:t>
            </w:r>
          </w:p>
        </w:tc>
        <w:tc>
          <w:tcPr>
            <w:tcW w:type="dxa" w:w="5184"/>
          </w:tcPr>
          <w:p>
            <w:r>
              <w:rPr>
                <w:rFonts w:ascii="Arial" w:hAnsi="Arial"/>
                <w:b w:val="0"/>
                <w:sz w:val="18"/>
              </w:rPr>
              <w:t>6ab8f5efc23107aaaa7325ec</w:t>
            </w:r>
          </w:p>
        </w:tc>
      </w:tr>
    </w:tbl>
    <w:p/>
    <w:p>
      <w:pPr>
        <w:jc w:val="center"/>
      </w:pPr>
      <w:r>
        <w:rPr>
          <w:rFonts w:ascii="Arial" w:hAnsi="Arial"/>
          <w:b/>
          <w:color w:val="1A365D"/>
          <w:sz w:val="28"/>
        </w:rPr>
        <w:t>Power BI</w:t>
      </w:r>
    </w:p>
    <w:p>
      <w:r>
        <w:rPr>
          <w:rFonts w:ascii="Arial" w:hAnsi="Arial"/>
          <w:b w:val="0"/>
          <w:sz w:val="18"/>
        </w:rPr>
        <w:t>If Power BI is used for management dashboards of classification metrics, the following applies.</w:t>
      </w:r>
    </w:p>
    <w:p>
      <w:r>
        <w:rPr>
          <w:rFonts w:ascii="Arial" w:hAnsi="Arial"/>
          <w:b/>
          <w:color w:val="1A365D"/>
          <w:sz w:val="22"/>
        </w:rPr>
        <w:t>Relevant Metrics to Visualise</w:t>
      </w:r>
    </w:p>
    <w:p>
      <w:r>
        <w:rPr>
          <w:rFonts w:ascii="Arial" w:hAnsi="Arial"/>
          <w:b w:val="0"/>
          <w:sz w:val="18"/>
        </w:rPr>
        <w:t>• Daily / weekly classification volume</w:t>
      </w:r>
    </w:p>
    <w:p>
      <w:r>
        <w:rPr>
          <w:rFonts w:ascii="Arial" w:hAnsi="Arial"/>
          <w:b w:val="0"/>
          <w:sz w:val="18"/>
        </w:rPr>
        <w:t>• Average confidence score trend</w:t>
      </w:r>
    </w:p>
    <w:p>
      <w:r>
        <w:rPr>
          <w:rFonts w:ascii="Arial" w:hAnsi="Arial"/>
          <w:b w:val="0"/>
          <w:sz w:val="18"/>
        </w:rPr>
        <w:t>• Override / feedback rate</w:t>
      </w:r>
    </w:p>
    <w:p>
      <w:r>
        <w:rPr>
          <w:rFonts w:ascii="Arial" w:hAnsi="Arial"/>
          <w:b w:val="0"/>
          <w:sz w:val="18"/>
        </w:rPr>
        <w:t>• % tickets auto-assigned vs Manual Review</w:t>
      </w:r>
    </w:p>
    <w:p>
      <w:r>
        <w:rPr>
          <w:rFonts w:ascii="Arial" w:hAnsi="Arial"/>
          <w:b w:val="0"/>
          <w:sz w:val="18"/>
        </w:rPr>
        <w:t>• Average time-to-assign before vs after solution</w:t>
      </w:r>
    </w:p>
    <w:p>
      <w:r>
        <w:rPr>
          <w:rFonts w:ascii="Arial" w:hAnsi="Arial"/>
          <w:b w:val="0"/>
          <w:sz w:val="18"/>
        </w:rPr>
        <w:t>Data Source: Classification Audit Log table / view exported or connected via gateway.</w:t>
      </w:r>
    </w:p>
    <w:p>
      <w:r>
        <w:rPr>
          <w:rFonts w:ascii="Arial" w:hAnsi="Arial"/>
          <w:b w:val="0"/>
          <w:sz w:val="18"/>
        </w:rPr>
        <w:t>Project Status: Optional reporting layer – not required for core classification flow.</w:t>
      </w:r>
    </w:p>
    <w:p>
      <w:pPr>
        <w:jc w:val="center"/>
      </w:pPr>
      <w:r>
        <w:rPr>
          <w:rFonts w:ascii="Arial" w:hAnsi="Arial"/>
          <w:b w:val="0"/>
          <w:color w:val="757575"/>
          <w:sz w:val="16"/>
        </w:rPr>
        <w:t>Team ID: 6ab8f5efc23107aaaa7325ec</w:t>
      </w:r>
    </w:p>
    <w:sectPr w:rsidR="00FC693F" w:rsidRPr="0006063C" w:rsidSect="00034616">
      <w:pgSz w:w="12240" w:h="15840"/>
      <w:pgMar w:top="720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