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Tableau – Reporting Notes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03 October 2026</w:t>
            </w:r>
          </w:p>
        </w:tc>
      </w:tr>
      <w:tr>
        <w:tc>
          <w:tcPr>
            <w:tcW w:type="dxa" w:w="5184"/>
            <w:shd w:fill="1A365D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5184"/>
          </w:tcPr>
          <w:p>
            <w:r>
              <w:rPr>
                <w:rFonts w:ascii="Arial" w:hAnsi="Arial"/>
                <w:b w:val="0"/>
                <w:sz w:val="18"/>
              </w:rPr>
              <w:t>6ab8f5efc23107aaaa7325ec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1A365D"/>
          <w:sz w:val="28"/>
        </w:rPr>
        <w:t>Tableau</w:t>
      </w:r>
    </w:p>
    <w:p>
      <w:r>
        <w:rPr>
          <w:rFonts w:ascii="Arial" w:hAnsi="Arial"/>
          <w:b w:val="0"/>
          <w:sz w:val="18"/>
        </w:rPr>
        <w:t>Similar to Power BI – Tableau can be used as an optional visualisation layer on top of the Classification Audit Log.</w:t>
      </w:r>
    </w:p>
    <w:p>
      <w:r>
        <w:rPr>
          <w:rFonts w:ascii="Arial" w:hAnsi="Arial"/>
          <w:b/>
          <w:color w:val="1A365D"/>
          <w:sz w:val="22"/>
        </w:rPr>
        <w:t>Suggested Dashboards</w:t>
      </w:r>
    </w:p>
    <w:p>
      <w:r>
        <w:rPr>
          <w:rFonts w:ascii="Arial" w:hAnsi="Arial"/>
          <w:b w:val="0"/>
          <w:sz w:val="18"/>
        </w:rPr>
        <w:t>• Classification volume &amp; success rate over time</w:t>
      </w:r>
    </w:p>
    <w:p>
      <w:r>
        <w:rPr>
          <w:rFonts w:ascii="Arial" w:hAnsi="Arial"/>
          <w:b w:val="0"/>
          <w:sz w:val="18"/>
        </w:rPr>
        <w:t>• Confidence distribution histogram</w:t>
      </w:r>
    </w:p>
    <w:p>
      <w:r>
        <w:rPr>
          <w:rFonts w:ascii="Arial" w:hAnsi="Arial"/>
          <w:b w:val="0"/>
          <w:sz w:val="18"/>
        </w:rPr>
        <w:t>• Override rate by Assignment Group</w:t>
      </w:r>
    </w:p>
    <w:p>
      <w:r>
        <w:rPr>
          <w:rFonts w:ascii="Arial" w:hAnsi="Arial"/>
          <w:b w:val="0"/>
          <w:sz w:val="18"/>
        </w:rPr>
        <w:t>• Time-to-assign trend before/after go-live</w:t>
      </w:r>
    </w:p>
    <w:p>
      <w:r>
        <w:rPr>
          <w:rFonts w:ascii="Arial" w:hAnsi="Arial"/>
          <w:b w:val="0"/>
          <w:sz w:val="18"/>
        </w:rPr>
        <w:t>Project Status: Optional – core solution does not depend on Tableau.</w:t>
      </w:r>
    </w:p>
    <w:p>
      <w:pPr>
        <w:jc w:val="center"/>
      </w:pPr>
      <w:r>
        <w:rPr>
          <w:rFonts w:ascii="Arial" w:hAnsi="Arial"/>
          <w:b w:val="0"/>
          <w:color w:val="757575"/>
          <w:sz w:val="16"/>
        </w:rPr>
        <w:t>Team ID: 6ab8f5efc23107aaaa7325ec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