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112"/>
        <w:gridCol w:w="5112"/>
      </w:tblGrid>
      <w:tr>
        <w:tc>
          <w:tcPr>
            <w:tcW w:type="dxa" w:w="5112"/>
            <w:shd w:fill="1A365D" w:val="clear"/>
          </w:tcPr>
          <w:p>
            <w:r>
              <w:rPr>
                <w:rFonts w:ascii="Arial" w:hAnsi="Arial"/>
                <w:b/>
                <w:i w:val="0"/>
                <w:color w:val="FFFFFF"/>
                <w:sz w:val="18"/>
              </w:rPr>
              <w:t>Date</w:t>
            </w:r>
          </w:p>
        </w:tc>
        <w:tc>
          <w:tcPr>
            <w:tcW w:type="dxa" w:w="5112"/>
          </w:tcPr>
          <w:p>
            <w:r>
              <w:rPr>
                <w:rFonts w:ascii="Arial" w:hAnsi="Arial"/>
                <w:b w:val="0"/>
                <w:i w:val="0"/>
                <w:sz w:val="18"/>
              </w:rPr>
              <w:t>03 October 2026</w:t>
            </w:r>
          </w:p>
        </w:tc>
      </w:tr>
      <w:tr>
        <w:tc>
          <w:tcPr>
            <w:tcW w:type="dxa" w:w="5112"/>
            <w:shd w:fill="1A365D" w:val="clear"/>
          </w:tcPr>
          <w:p>
            <w:r>
              <w:rPr>
                <w:rFonts w:ascii="Arial" w:hAnsi="Arial"/>
                <w:b/>
                <w:i w:val="0"/>
                <w:color w:val="FFFFFF"/>
                <w:sz w:val="18"/>
              </w:rPr>
              <w:t>Team ID</w:t>
            </w:r>
          </w:p>
        </w:tc>
        <w:tc>
          <w:tcPr>
            <w:tcW w:type="dxa" w:w="5112"/>
          </w:tcPr>
          <w:p>
            <w:r>
              <w:rPr>
                <w:rFonts w:ascii="Arial" w:hAnsi="Arial"/>
                <w:b w:val="0"/>
                <w:i w:val="0"/>
                <w:sz w:val="18"/>
              </w:rPr>
              <w:t>6ab8f5efc23107aaaa7325ec</w:t>
            </w:r>
          </w:p>
        </w:tc>
      </w:tr>
      <w:tr>
        <w:tc>
          <w:tcPr>
            <w:tcW w:type="dxa" w:w="5112"/>
            <w:shd w:fill="1A365D" w:val="clear"/>
          </w:tcPr>
          <w:p>
            <w:r>
              <w:rPr>
                <w:rFonts w:ascii="Arial" w:hAnsi="Arial"/>
                <w:b/>
                <w:i w:val="0"/>
                <w:color w:val="FFFFFF"/>
                <w:sz w:val="18"/>
              </w:rPr>
              <w:t>Project Name</w:t>
            </w:r>
          </w:p>
        </w:tc>
        <w:tc>
          <w:tcPr>
            <w:tcW w:type="dxa" w:w="5112"/>
          </w:tcPr>
          <w:p>
            <w:r>
              <w:rPr>
                <w:rFonts w:ascii="Arial" w:hAnsi="Arial"/>
                <w:b w:val="0"/>
                <w:i w:val="0"/>
                <w:sz w:val="18"/>
              </w:rPr>
              <w:t>Auto Ticket Classification using Flow Designer</w:t>
            </w:r>
          </w:p>
        </w:tc>
      </w:tr>
      <w:tr>
        <w:tc>
          <w:tcPr>
            <w:tcW w:type="dxa" w:w="5112"/>
            <w:shd w:fill="1A365D" w:val="clear"/>
          </w:tcPr>
          <w:p>
            <w:r>
              <w:rPr>
                <w:rFonts w:ascii="Arial" w:hAnsi="Arial"/>
                <w:b/>
                <w:i w:val="0"/>
                <w:color w:val="FFFFFF"/>
                <w:sz w:val="18"/>
              </w:rPr>
              <w:t>Maximum Marks</w:t>
            </w:r>
          </w:p>
        </w:tc>
        <w:tc>
          <w:tcPr>
            <w:tcW w:type="dxa" w:w="5112"/>
          </w:tcPr>
          <w:p>
            <w:r>
              <w:rPr>
                <w:rFonts w:ascii="Arial" w:hAnsi="Arial"/>
                <w:b w:val="0"/>
                <w:i w:val="0"/>
                <w:sz w:val="18"/>
              </w:rPr>
              <w:t>4 Marks</w:t>
            </w:r>
          </w:p>
        </w:tc>
      </w:tr>
    </w:tbl>
    <w:p/>
    <w:p>
      <w:pPr>
        <w:jc w:val="center"/>
      </w:pPr>
      <w:r>
        <w:rPr>
          <w:rFonts w:ascii="Arial" w:hAnsi="Arial"/>
          <w:b/>
          <w:i w:val="0"/>
          <w:color w:val="1A365D"/>
          <w:sz w:val="32"/>
        </w:rPr>
        <w:t>Proposed Solution</w:t>
      </w:r>
    </w:p>
    <w:p/>
    <w:p>
      <w:r>
        <w:rPr>
          <w:rFonts w:ascii="Arial" w:hAnsi="Arial"/>
          <w:b/>
          <w:i w:val="0"/>
          <w:color w:val="1A365D"/>
          <w:sz w:val="24"/>
        </w:rPr>
        <w:t>1. Solution Overview</w:t>
      </w:r>
    </w:p>
    <w:p>
      <w:r>
        <w:rPr>
          <w:rFonts w:ascii="Arial" w:hAnsi="Arial"/>
          <w:b w:val="0"/>
          <w:i w:val="0"/>
          <w:sz w:val="20"/>
        </w:rPr>
        <w:t>The proposed solution is an automated ticket classification and routing system built entirely inside Flow Designer (ServiceNow Flow Designer or Microsoft Power Automate). When a support ticket is created, a flow is triggered that analyses the ticket text, predicts the correct Category, Subcategory, Priority and Assignment Group, updates the ticket, and routes it to the right team — all within seconds.</w:t>
      </w:r>
    </w:p>
    <w:p>
      <w:r>
        <w:rPr>
          <w:rFonts w:ascii="Arial" w:hAnsi="Arial"/>
          <w:b/>
          <w:i w:val="0"/>
          <w:sz w:val="20"/>
        </w:rPr>
        <w:t xml:space="preserve">Core Idea: </w:t>
      </w:r>
      <w:r>
        <w:rPr>
          <w:rFonts w:ascii="Arial" w:hAnsi="Arial"/>
          <w:b w:val="0"/>
          <w:i w:val="0"/>
          <w:sz w:val="20"/>
        </w:rPr>
        <w:t>Replace slow, inconsistent manual triage with a hybrid (Rules + AI) classification engine that is transparent, auditable and continuously improvable.</w:t>
      </w:r>
    </w:p>
    <w:p/>
    <w:p>
      <w:r>
        <w:rPr>
          <w:rFonts w:ascii="Arial" w:hAnsi="Arial"/>
          <w:b/>
          <w:i w:val="0"/>
          <w:color w:val="1A365D"/>
          <w:sz w:val="24"/>
        </w:rPr>
        <w:t>2. How the Solution Works (Step-by-Step)</w:t>
      </w:r>
    </w:p>
    <w:p>
      <w:r>
        <w:rPr>
          <w:rFonts w:ascii="Arial" w:hAnsi="Arial"/>
          <w:b w:val="0"/>
          <w:i w:val="0"/>
          <w:sz w:val="18"/>
        </w:rPr>
        <w:t>• Trigger: Record Created on Incident / Ticket table fires the Flow.</w:t>
      </w:r>
    </w:p>
    <w:p>
      <w:r>
        <w:rPr>
          <w:rFonts w:ascii="Arial" w:hAnsi="Arial"/>
          <w:b w:val="0"/>
          <w:i w:val="0"/>
          <w:sz w:val="18"/>
        </w:rPr>
        <w:t>• Extract: Short Description + Description (+ optional enrichment from CI / User profile).</w:t>
      </w:r>
    </w:p>
    <w:p>
      <w:r>
        <w:rPr>
          <w:rFonts w:ascii="Arial" w:hAnsi="Arial"/>
          <w:b w:val="0"/>
          <w:i w:val="0"/>
          <w:sz w:val="18"/>
        </w:rPr>
        <w:t>• Classify (Hybrid):</w:t>
      </w:r>
    </w:p>
    <w:p>
      <w:r>
        <w:rPr>
          <w:rFonts w:ascii="Arial" w:hAnsi="Arial"/>
          <w:b w:val="0"/>
          <w:i w:val="0"/>
          <w:sz w:val="18"/>
        </w:rPr>
        <w:t>•    a. Rule-based path (Decision Tables / Keywords) for high-confidence common patterns.</w:t>
      </w:r>
    </w:p>
    <w:p>
      <w:r>
        <w:rPr>
          <w:rFonts w:ascii="Arial" w:hAnsi="Arial"/>
          <w:b w:val="0"/>
          <w:i w:val="0"/>
          <w:sz w:val="18"/>
        </w:rPr>
        <w:t>•    b. AI path (Predictive Intelligence / AI Builder / External LLM) for remaining tickets.</w:t>
      </w:r>
    </w:p>
    <w:p>
      <w:r>
        <w:rPr>
          <w:rFonts w:ascii="Arial" w:hAnsi="Arial"/>
          <w:b w:val="0"/>
          <w:i w:val="0"/>
          <w:sz w:val="18"/>
        </w:rPr>
        <w:t>• Decide: If confidence ≥ threshold → auto-update Category, Priority, Assignment Group.</w:t>
      </w:r>
    </w:p>
    <w:p>
      <w:r>
        <w:rPr>
          <w:rFonts w:ascii="Arial" w:hAnsi="Arial"/>
          <w:b w:val="0"/>
          <w:i w:val="0"/>
          <w:sz w:val="18"/>
        </w:rPr>
        <w:t>•          If confidence &lt; threshold → route to Manual Review queue + notify agent.</w:t>
      </w:r>
    </w:p>
    <w:p>
      <w:r>
        <w:rPr>
          <w:rFonts w:ascii="Arial" w:hAnsi="Arial"/>
          <w:b w:val="0"/>
          <w:i w:val="0"/>
          <w:sz w:val="18"/>
        </w:rPr>
        <w:t>• Log: Every decision (inputs, outputs, confidence, explanation, model version) is written to an audit log.</w:t>
      </w:r>
    </w:p>
    <w:p>
      <w:r>
        <w:rPr>
          <w:rFonts w:ascii="Arial" w:hAnsi="Arial"/>
          <w:b w:val="0"/>
          <w:i w:val="0"/>
          <w:sz w:val="18"/>
        </w:rPr>
        <w:t>• Feedback: Agent can mark classification Correct / Incorrect → data used for continuous improvement.</w:t>
      </w:r>
    </w:p>
    <w:p/>
    <w:p>
      <w:r>
        <w:rPr>
          <w:rFonts w:ascii="Arial" w:hAnsi="Arial"/>
          <w:b/>
          <w:i w:val="0"/>
          <w:color w:val="1A365D"/>
          <w:sz w:val="24"/>
        </w:rPr>
        <w:t>3. Key Features</w:t>
      </w:r>
    </w:p>
    <w:p>
      <w:r>
        <w:rPr>
          <w:rFonts w:ascii="Arial" w:hAnsi="Arial"/>
          <w:b/>
          <w:i w:val="0"/>
          <w:sz w:val="18"/>
        </w:rPr>
        <w:t xml:space="preserve">• Hybrid Classification: </w:t>
      </w:r>
      <w:r>
        <w:rPr>
          <w:rFonts w:ascii="Arial" w:hAnsi="Arial"/>
          <w:b w:val="0"/>
          <w:i w:val="0"/>
          <w:sz w:val="18"/>
        </w:rPr>
        <w:t>Combines deterministic rules with AI for best accuracy + explainability.</w:t>
      </w:r>
    </w:p>
    <w:p>
      <w:r>
        <w:rPr>
          <w:rFonts w:ascii="Arial" w:hAnsi="Arial"/>
          <w:b/>
          <w:i w:val="0"/>
          <w:sz w:val="18"/>
        </w:rPr>
        <w:t xml:space="preserve">• Confidence Threshold: </w:t>
      </w:r>
      <w:r>
        <w:rPr>
          <w:rFonts w:ascii="Arial" w:hAnsi="Arial"/>
          <w:b w:val="0"/>
          <w:i w:val="0"/>
          <w:sz w:val="18"/>
        </w:rPr>
        <w:t>Configurable cut-off that decides auto-assign vs human review.</w:t>
      </w:r>
    </w:p>
    <w:p>
      <w:r>
        <w:rPr>
          <w:rFonts w:ascii="Arial" w:hAnsi="Arial"/>
          <w:b/>
          <w:i w:val="0"/>
          <w:sz w:val="18"/>
        </w:rPr>
        <w:t xml:space="preserve">• Full Audit Trail: </w:t>
      </w:r>
      <w:r>
        <w:rPr>
          <w:rFonts w:ascii="Arial" w:hAnsi="Arial"/>
          <w:b w:val="0"/>
          <w:i w:val="0"/>
          <w:sz w:val="18"/>
        </w:rPr>
        <w:t>Every classification is logged for compliance and process improvement.</w:t>
      </w:r>
    </w:p>
    <w:p>
      <w:r>
        <w:rPr>
          <w:rFonts w:ascii="Arial" w:hAnsi="Arial"/>
          <w:b/>
          <w:i w:val="0"/>
          <w:sz w:val="18"/>
        </w:rPr>
        <w:t xml:space="preserve">• Agent Override + Feedback: </w:t>
      </w:r>
      <w:r>
        <w:rPr>
          <w:rFonts w:ascii="Arial" w:hAnsi="Arial"/>
          <w:b w:val="0"/>
          <w:i w:val="0"/>
          <w:sz w:val="18"/>
        </w:rPr>
        <w:t>Agents stay in control; their corrections improve the system.</w:t>
      </w:r>
    </w:p>
    <w:p>
      <w:r>
        <w:rPr>
          <w:rFonts w:ascii="Arial" w:hAnsi="Arial"/>
          <w:b/>
          <w:i w:val="0"/>
          <w:sz w:val="18"/>
        </w:rPr>
        <w:t xml:space="preserve">• Near Real-Time: </w:t>
      </w:r>
      <w:r>
        <w:rPr>
          <w:rFonts w:ascii="Arial" w:hAnsi="Arial"/>
          <w:b w:val="0"/>
          <w:i w:val="0"/>
          <w:sz w:val="18"/>
        </w:rPr>
        <w:t>Target end-to-end processing &lt; 5 seconds for 95% of tickets.</w:t>
      </w:r>
    </w:p>
    <w:p>
      <w:r>
        <w:rPr>
          <w:rFonts w:ascii="Arial" w:hAnsi="Arial"/>
          <w:b/>
          <w:i w:val="0"/>
          <w:sz w:val="18"/>
        </w:rPr>
        <w:t xml:space="preserve">• No New UI Required: </w:t>
      </w:r>
      <w:r>
        <w:rPr>
          <w:rFonts w:ascii="Arial" w:hAnsi="Arial"/>
          <w:b w:val="0"/>
          <w:i w:val="0"/>
          <w:sz w:val="18"/>
        </w:rPr>
        <w:t>Works inside existing Agent Workspace / Service Portal.</w:t>
      </w:r>
    </w:p>
    <w:p/>
    <w:p>
      <w:r>
        <w:rPr>
          <w:rFonts w:ascii="Arial" w:hAnsi="Arial"/>
          <w:b/>
          <w:i w:val="0"/>
          <w:color w:val="1A365D"/>
          <w:sz w:val="24"/>
        </w:rPr>
        <w:t>4. Expected Benefits</w:t>
      </w:r>
    </w:p>
    <w:p>
      <w:r>
        <w:rPr>
          <w:rFonts w:ascii="Arial" w:hAnsi="Arial"/>
          <w:b w:val="0"/>
          <w:i w:val="0"/>
          <w:sz w:val="18"/>
        </w:rPr>
        <w:t>• ≥ 70% reduction in average Time-to-Assign</w:t>
      </w:r>
    </w:p>
    <w:p>
      <w:r>
        <w:rPr>
          <w:rFonts w:ascii="Arial" w:hAnsi="Arial"/>
          <w:b w:val="0"/>
          <w:i w:val="0"/>
          <w:sz w:val="18"/>
        </w:rPr>
        <w:t>• ≥ 60% reduction in agent time spent on manual triage</w:t>
      </w:r>
    </w:p>
    <w:p>
      <w:r>
        <w:rPr>
          <w:rFonts w:ascii="Arial" w:hAnsi="Arial"/>
          <w:b w:val="0"/>
          <w:i w:val="0"/>
          <w:sz w:val="18"/>
        </w:rPr>
        <w:t>• ≥ 85% first-pass classification accuracy (Category + Assignment Group)</w:t>
      </w:r>
    </w:p>
    <w:p>
      <w:r>
        <w:rPr>
          <w:rFonts w:ascii="Arial" w:hAnsi="Arial"/>
          <w:b w:val="0"/>
          <w:i w:val="0"/>
          <w:sz w:val="18"/>
        </w:rPr>
        <w:t>• Lower SLA breach rate caused by wrong routing</w:t>
      </w:r>
    </w:p>
    <w:p>
      <w:r>
        <w:rPr>
          <w:rFonts w:ascii="Arial" w:hAnsi="Arial"/>
          <w:b w:val="0"/>
          <w:i w:val="0"/>
          <w:sz w:val="18"/>
        </w:rPr>
        <w:t>• Higher agent satisfaction (less repetitive work)</w:t>
      </w:r>
    </w:p>
    <w:p>
      <w:r>
        <w:rPr>
          <w:rFonts w:ascii="Arial" w:hAnsi="Arial"/>
          <w:b w:val="0"/>
          <w:i w:val="0"/>
          <w:sz w:val="18"/>
        </w:rPr>
        <w:t>• Higher end-user CSAT due to faster assignment</w:t>
      </w:r>
    </w:p>
    <w:p>
      <w:r>
        <w:rPr>
          <w:rFonts w:ascii="Arial" w:hAnsi="Arial"/>
          <w:b w:val="0"/>
          <w:i w:val="0"/>
          <w:sz w:val="18"/>
        </w:rPr>
        <w:t>• Consistent, auditable classification across the organisation</w:t>
      </w:r>
    </w:p>
    <w:p/>
    <w:p>
      <w:r>
        <w:rPr>
          <w:rFonts w:ascii="Arial" w:hAnsi="Arial"/>
          <w:b/>
          <w:i w:val="0"/>
          <w:color w:val="1A365D"/>
          <w:sz w:val="24"/>
        </w:rPr>
        <w:t>5. Why Flow Designer?</w:t>
      </w:r>
    </w:p>
    <w:p>
      <w:r>
        <w:rPr>
          <w:rFonts w:ascii="Arial" w:hAnsi="Arial"/>
          <w:b w:val="0"/>
          <w:i w:val="0"/>
          <w:sz w:val="20"/>
        </w:rPr>
        <w:t>Flow Designer is the native low-code orchestration engine of the platform. It already has the triggers, record update actions, decision tables, Integration Hub connectors and error handling needed. Building the solution here avoids custom code, keeps everything upgrade-safe, and allows process owners to maintain rules without developers.</w:t>
      </w:r>
    </w:p>
    <w:p/>
    <w:p>
      <w:r>
        <w:rPr>
          <w:rFonts w:ascii="Arial" w:hAnsi="Arial"/>
          <w:b/>
          <w:i w:val="0"/>
          <w:color w:val="1A365D"/>
          <w:sz w:val="24"/>
        </w:rPr>
        <w:t>6. High-Level Success Criteria</w:t>
      </w:r>
    </w:p>
    <w:p>
      <w:r>
        <w:rPr>
          <w:rFonts w:ascii="Arial" w:hAnsi="Arial"/>
          <w:b w:val="0"/>
          <w:i w:val="0"/>
          <w:sz w:val="20"/>
        </w:rPr>
        <w:t>A pilot on one high-volume assignment group that demonstrates the accuracy and time-saving targets above, with positive agent feedback and a clear path to organisation-wide rollout.</w:t>
      </w:r>
    </w:p>
    <w:p>
      <w:pPr>
        <w:jc w:val="center"/>
      </w:pPr>
      <w:r>
        <w:rPr>
          <w:rFonts w:ascii="Arial" w:hAnsi="Arial"/>
          <w:b w:val="0"/>
          <w:i w:val="0"/>
          <w:color w:val="757575"/>
          <w:sz w:val="16"/>
        </w:rPr>
        <w:t>Project: Auto Ticket Classification using Flow Designer  |  Proposed Solution Template  |  Team ID: 6ab8f5efc23107aaaa7325ec</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