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47857"/>
          <w:spacing w:val="20"/>
          <w:sz w:val="16"/>
          <w:szCs w:val="16"/>
        </w:rPr>
        <w:t xml:space="preserve">SYMBIOLINK AI · PROJECT OVERVIEW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4171A"/>
          <w:sz w:val="52"/>
          <w:szCs w:val="52"/>
        </w:rPr>
        <w:t xml:space="preserve">SymbioLink AI</w:t>
      </w:r>
    </w:p>
    <w:p>
      <w:pPr>
        <w:spacing w:after="40"/>
      </w:pPr>
      <w:r>
        <w:rPr>
          <w:color w:val="4B4F54"/>
          <w:sz w:val="26"/>
          <w:szCs w:val="26"/>
        </w:rPr>
        <w:t xml:space="preserve">Abstract &amp; System Architecture</w:t>
      </w:r>
    </w:p>
    <w:p>
      <w:pPr>
        <w:spacing w:after="300"/>
      </w:pPr>
      <w:r>
        <w:rPr>
          <w:i/>
          <w:iCs/>
          <w:color w:val="83888D"/>
          <w:sz w:val="20"/>
          <w:szCs w:val="20"/>
        </w:rPr>
        <w:t xml:space="preserve">Team CircuLink  ·  Sustainability Hackathon 2026  ·  Theme: Circular Economy</w:t>
      </w:r>
    </w:p>
    <w:p>
      <w:pPr>
        <w:pBdr>
          <w:bottom w:val="single" w:color="E6E4DC" w:sz="6" w:space="1"/>
        </w:pBdr>
        <w:spacing w:after="240"/>
      </w:pPr>
    </w:p>
    <w:p>
      <w:pPr>
        <w:pStyle w:val="Heading1"/>
        <w:spacing w:after="160" w:before="300"/>
      </w:pPr>
      <w:r>
        <w:rPr>
          <w:b/>
          <w:bCs/>
          <w:color w:val="047857"/>
        </w:rPr>
        <w:t xml:space="preserve">Abstract</w:t>
      </w:r>
    </w:p>
    <w:p>
      <w:pPr>
        <w:spacing w:after="200" w:line="300"/>
        <w:jc w:val="both"/>
      </w:pPr>
      <w:r>
        <w:rPr>
          <w:color w:val="4B4F54"/>
          <w:sz w:val="22"/>
          <w:szCs w:val="22"/>
        </w:rPr>
        <w:t xml:space="preserve">SymbioLink AI is a working prototype for a digital industrial-symbiosis platform that connects small and medium manufacturing units (MSMEs) within a shared industrial cluster, turning one factory's waste into another factory's cheap raw material. Rather than a simple one-to-one classifieds board, the system models the cluster as a graph and searches for both direct matches and 2–3 hop exchange chains — Unit A's waste feeding Unit B, whose own byproduct feeds Unit C — ranking each by estimated cost savings, transport distance, and a trust score built from past completed exchanges.</w:t>
      </w:r>
    </w:p>
    <w:p>
      <w:pPr>
        <w:spacing w:after="200" w:line="300"/>
        <w:jc w:val="both"/>
      </w:pPr>
      <w:r>
        <w:rPr>
          <w:color w:val="4B4F54"/>
          <w:sz w:val="22"/>
          <w:szCs w:val="22"/>
        </w:rPr>
        <w:t xml:space="preserve">A predictive layer forecasts a unit's next likely waste listing from its posting history, so a buyer can be lined up before the waste is even generated, and a logistics-pooling layer groups nearby low-volume matches into shared transport runs that would otherwise be too small to justify a solo pickup. Listings can be created through a lightweight web form or, in a simulated preview of the intended production path, through a WhatsApp or voice-note message parsed into a structured listing — removing the literacy and app-adoption barriers that keep many MSME owners out of digital marketplaces today.</w:t>
      </w:r>
    </w:p>
    <w:p>
      <w:pPr>
        <w:spacing w:after="200" w:line="300"/>
        <w:jc w:val="both"/>
      </w:pPr>
      <w:r>
        <w:rPr>
          <w:color w:val="4B4F54"/>
          <w:sz w:val="22"/>
          <w:szCs w:val="22"/>
        </w:rPr>
        <w:t xml:space="preserve">A full order lifecycle — placed, confirmed, picked up, delivered, completed — closes the loop: every completed exchange feeds a two-way rating back into the trust ledger, which in turn raises or lowers that unit's confidence score in future match rankings, creating a self-reinforcing feedback cycle between transactions and trust.</w:t>
      </w:r>
    </w:p>
    <w:p>
      <w:pPr>
        <w:spacing w:after="0" w:line="300"/>
        <w:jc w:val="both"/>
      </w:pPr>
      <w:r>
        <w:rPr>
          <w:color w:val="4B4F54"/>
          <w:sz w:val="22"/>
          <w:szCs w:val="22"/>
        </w:rPr>
        <w:t xml:space="preserve">Built with Flask on a synthetic dataset modeled on documented Indian industrial cluster patterns (e.g. Muzaffarnagar's paper/sugar-mill belt, Mysore's mixed manufacturing cluster), the prototype is intentionally rules-based and transparent rather than a black-box model, with reference prices and transport rates flagged honestly as illustrative estimates pending real-world tuning ahead of a pilot deployment.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47857"/>
        </w:rPr>
        <w:t xml:space="preserve">System Architecture</w:t>
      </w:r>
    </w:p>
    <w:p>
      <w:pPr>
        <w:spacing w:after="200" w:line="300"/>
        <w:jc w:val="both"/>
      </w:pPr>
      <w:r>
        <w:rPr>
          <w:color w:val="4B4F54"/>
          <w:sz w:val="22"/>
          <w:szCs w:val="22"/>
        </w:rPr>
        <w:t xml:space="preserve">The six layers below mirror the project's concept note: listings enter through either a lightweight web form or a simulated WhatsApp/voice-note intake, land in a shared in-memory data model, and flow through the predictive, matching, pooling, and trust layers before every result is rendered live on one dashboard. A feedback loop closes the system: completed orders generate two-way ratings that update the trust ledger, which in turn feeds an “average trust” confidence score back into the matching engine's own ranking.</w:t>
      </w:r>
    </w:p>
    <w:p>
      <w:pPr>
        <w:spacing w:after="100" w:before="120"/>
        <w:jc w:val="center"/>
      </w:pPr>
      <w:r>
        <w:drawing>
          <wp:inline distT="0" distB="0" distL="0" distR="0">
            <wp:extent cx="5334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i/>
          <w:iCs/>
          <w:color w:val="83888D"/>
          <w:sz w:val="18"/>
          <w:szCs w:val="18"/>
        </w:rPr>
        <w:t xml:space="preserve">Figure 1. </w:t>
      </w:r>
      <w:r>
        <w:rPr>
          <w:i/>
          <w:iCs/>
          <w:color w:val="83888D"/>
          <w:sz w:val="18"/>
          <w:szCs w:val="18"/>
        </w:rPr>
        <w:t xml:space="preserve">SymbioLink AI system architecture — solid green arrows are the primary data flow; dashed amber arrows are the predictive signal and trust feedback loop; the dashed grey boundary marks the shared data substrate and the cluster-engine grouping.</w:t>
      </w:r>
    </w:p>
    <w:p>
      <w:pPr>
        <w:pBdr>
          <w:top w:val="single" w:color="F0D9B8" w:sz="4" w:space="8"/>
          <w:bottom w:val="single" w:color="F0D9B8" w:sz="4" w:space="8"/>
          <w:left w:val="single" w:color="F0D9B8" w:sz="4" w:space="8"/>
          <w:right w:val="single" w:color="F0D9B8" w:sz="4" w:space="8"/>
        </w:pBdr>
        <w:shd w:fill="FDF0E1" w:color="auto" w:val="clear"/>
        <w:spacing w:after="300" w:before="100" w:line="280"/>
      </w:pPr>
      <w:r>
        <w:rPr>
          <w:b/>
          <w:bCs/>
          <w:color w:val="A3540C"/>
          <w:sz w:val="20"/>
          <w:szCs w:val="20"/>
        </w:rPr>
        <w:t xml:space="preserve">Honest scope note:  </w:t>
      </w:r>
      <w:r>
        <w:rPr>
          <w:color w:val="A3540C"/>
          <w:sz w:val="20"/>
          <w:szCs w:val="20"/>
        </w:rPr>
        <w:t xml:space="preserve">today, Search and Order creation read listings directly rather than being gated by the Matching Engine's ranked chains — those chains are surfaced as suggestions on the dashboard, on register confirmation, and on unit profiles. Tightening that pipeline is a natural next step, alongside the other items in the project's “Next steps toward a pilot.”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47857"/>
        </w:rPr>
        <w:t xml:space="preserve">Software Modules</w:t>
      </w:r>
    </w:p>
    <w:p>
      <w:pPr>
        <w:spacing w:after="180" w:line="300"/>
        <w:jc w:val="both"/>
      </w:pPr>
      <w:r>
        <w:rPr>
          <w:color w:val="4B4F54"/>
          <w:sz w:val="22"/>
          <w:szCs w:val="22"/>
        </w:rPr>
        <w:t xml:space="preserve">The prototype is organized as a small set of single-responsibility Python modules sitting behind the Flask app, so each layer in the architecture diagram maps to one readable file rather than a sprawling monolith.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rPr>
          <w:tblHeader/>
        </w:trPr>
        <w:tc>
          <w:tcPr>
            <w:tcW w:type="dxa" w:w="2300"/>
            <w:shd w:fill="0478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200"/>
            <w:shd w:fill="0478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app.py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Flask application — routes, request handling, and page rendering for all six layers.</w:t>
            </w:r>
          </w:p>
        </w:tc>
      </w:tr>
      <w:tr>
        <w:tc>
          <w:tcPr>
            <w:tcW w:type="dxa" w:w="23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data.py</w:t>
            </w:r>
          </w:p>
        </w:tc>
        <w:tc>
          <w:tcPr>
            <w:tcW w:type="dxa" w:w="72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Core data model: Units, Listings, categories, and the reference price table.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matching.py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Multi-Hop Matching Engine — graph model + DFS chain search, scored by saving, distance, and trust.</w:t>
            </w:r>
          </w:p>
        </w:tc>
      </w:tr>
      <w:tr>
        <w:tc>
          <w:tcPr>
            <w:tcW w:type="dxa" w:w="23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predictive.py</w:t>
            </w:r>
          </w:p>
        </w:tc>
        <w:tc>
          <w:tcPr>
            <w:tcW w:type="dxa" w:w="72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Predictive Layer — forecasts a unit's next likely waste listing from its posting history.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pooling.py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Logistics Pooling — union-find clustering of nearby low-volume pickups into shared transport runs.</w:t>
            </w:r>
          </w:p>
        </w:tc>
      </w:tr>
      <w:tr>
        <w:tc>
          <w:tcPr>
            <w:tcW w:type="dxa" w:w="23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trust.py</w:t>
            </w:r>
          </w:p>
        </w:tc>
        <w:tc>
          <w:tcPr>
            <w:tcW w:type="dxa" w:w="72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Verification &amp; Trust Ledger — rolling two-way ratings per unit, seeded at a neutral 3.5 / 5.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orders.py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Order Lifecycle — placed → confirmed → picked up → delivered → completed; the transactional bridge between a match and a real exchange.</w:t>
            </w:r>
          </w:p>
        </w:tc>
      </w:tr>
      <w:tr>
        <w:tc>
          <w:tcPr>
            <w:tcW w:type="dxa" w:w="23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whatsapp_stub.py</w:t>
            </w:r>
          </w:p>
        </w:tc>
        <w:tc>
          <w:tcPr>
            <w:tcW w:type="dxa" w:w="72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Simulated WhatsApp / voice-note intake — lightweight parser that turns a free-text message into a structured listing.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templates/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Jinja2 templates for every page — dashboard, listings, units, matches, pooling, and orders.</w:t>
            </w:r>
          </w:p>
        </w:tc>
      </w:tr>
      <w:tr>
        <w:tc>
          <w:tcPr>
            <w:tcW w:type="dxa" w:w="23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59669"/>
                <w:sz w:val="19"/>
                <w:szCs w:val="19"/>
              </w:rPr>
              <w:t xml:space="preserve">static/style.css</w:t>
            </w:r>
          </w:p>
        </w:tc>
        <w:tc>
          <w:tcPr>
            <w:tcW w:type="dxa" w:w="7200"/>
            <w:shd w:fill="F4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4B4F54"/>
                <w:sz w:val="19"/>
                <w:szCs w:val="19"/>
              </w:rPr>
              <w:t xml:space="preserve">The dark, glass-morphism design system — tokens, layout, and components shared across all pages.</w:t>
            </w:r>
          </w:p>
        </w:tc>
      </w:tr>
    </w:tbl>
    <w:p>
      <w:pPr>
        <w:spacing w:after="260"/>
      </w:pPr>
    </w:p>
    <w:p>
      <w:pPr>
        <w:pStyle w:val="Heading1"/>
        <w:spacing w:after="160" w:before="300"/>
      </w:pPr>
      <w:r>
        <w:rPr>
          <w:b/>
          <w:bCs/>
          <w:color w:val="047857"/>
        </w:rPr>
        <w:t xml:space="preserve">Tech Stack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4171A"/>
          <w:sz w:val="21"/>
          <w:szCs w:val="21"/>
        </w:rPr>
        <w:t xml:space="preserve">Python 3 + Flask</w:t>
      </w:r>
      <w:r>
        <w:rPr>
          <w:color w:val="4B4F54"/>
          <w:sz w:val="21"/>
          <w:szCs w:val="21"/>
        </w:rPr>
        <w:t xml:space="preserve">  —  application server and routing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4171A"/>
          <w:sz w:val="21"/>
          <w:szCs w:val="21"/>
        </w:rPr>
        <w:t xml:space="preserve">Jinja2 templates</w:t>
      </w:r>
      <w:r>
        <w:rPr>
          <w:color w:val="4B4F54"/>
          <w:sz w:val="21"/>
          <w:szCs w:val="21"/>
        </w:rPr>
        <w:t xml:space="preserve">  —  server-rendered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4171A"/>
          <w:sz w:val="21"/>
          <w:szCs w:val="21"/>
        </w:rPr>
        <w:t xml:space="preserve">In-memory data model</w:t>
      </w:r>
      <w:r>
        <w:rPr>
          <w:color w:val="4B4F54"/>
          <w:sz w:val="21"/>
          <w:szCs w:val="21"/>
        </w:rPr>
        <w:t xml:space="preserve">  —  Units, Listings, Orders, Trust ledger (data.py / orders.py / trust.py)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4171A"/>
          <w:sz w:val="21"/>
          <w:szCs w:val="21"/>
        </w:rPr>
        <w:t xml:space="preserve">Chart.js</w:t>
      </w:r>
      <w:r>
        <w:rPr>
          <w:color w:val="4B4F54"/>
          <w:sz w:val="21"/>
          <w:szCs w:val="21"/>
        </w:rPr>
        <w:t xml:space="preserve">  —  the dashboard's savings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4171A"/>
          <w:sz w:val="21"/>
          <w:szCs w:val="21"/>
        </w:rPr>
        <w:t xml:space="preserve">vis-network</w:t>
      </w:r>
      <w:r>
        <w:rPr>
          <w:color w:val="4B4F54"/>
          <w:sz w:val="21"/>
          <w:szCs w:val="21"/>
        </w:rPr>
        <w:t xml:space="preserve">  —  the cluster network graph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4171A"/>
          <w:sz w:val="21"/>
          <w:szCs w:val="21"/>
        </w:rPr>
        <w:t xml:space="preserve">Twilio WhatsApp (planned)</w:t>
      </w:r>
      <w:r>
        <w:rPr>
          <w:color w:val="4B4F54"/>
          <w:sz w:val="21"/>
          <w:szCs w:val="21"/>
        </w:rPr>
        <w:t xml:space="preserve">  —  real inbound message intake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4171A"/>
          <w:sz w:val="21"/>
          <w:szCs w:val="21"/>
        </w:rPr>
        <w:t xml:space="preserve">Whisper / speech-to-text (planned)</w:t>
      </w:r>
      <w:r>
        <w:rPr>
          <w:color w:val="4B4F54"/>
          <w:sz w:val="21"/>
          <w:szCs w:val="21"/>
        </w:rPr>
        <w:t xml:space="preserve">  —  voice-note transcription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4171A"/>
          <w:sz w:val="21"/>
          <w:szCs w:val="21"/>
        </w:rPr>
        <w:t xml:space="preserve">SQLite (planned)</w:t>
      </w:r>
      <w:r>
        <w:rPr>
          <w:color w:val="4B4F54"/>
          <w:sz w:val="21"/>
          <w:szCs w:val="21"/>
        </w:rPr>
        <w:t xml:space="preserve">  —  persistence beyond the current in-memory demo state</w:t>
      </w:r>
    </w:p>
    <w:p>
      <w:pPr>
        <w:pBdr>
          <w:top w:val="single" w:color="E6E4DC" w:sz="6" w:space="4"/>
        </w:pBdr>
        <w:spacing w:before="200"/>
        <w:jc w:val="center"/>
      </w:pPr>
      <w:r>
        <w:rPr>
          <w:color w:val="83888D"/>
          <w:sz w:val="16"/>
          <w:szCs w:val="16"/>
        </w:rPr>
        <w:t xml:space="preserve">SymbioLink AI  ·  Team CircuLink  ·  Sustainability Hackathon 2026</w:t>
      </w:r>
    </w:p>
    <w:sectPr>
      <w:pgSz w:w="11906" w:h="16838" w:orient="portrait"/>
      <w:pgMar w:top="860" w:right="1200" w:bottom="86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7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d651f184f5a92776f337f77f38aeec739110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2026-07-28T09:14:52.375Z</dcterms:created>
  <dcterms:modified xsi:type="dcterms:W3CDTF">2026-07-28T09:14:52.376Z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