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CORTEX Ecosystem PRD/SRS Pack</w:t>
      </w:r>
    </w:p>
    <w:p>
      <w:r>
        <w:t>Ten separate system documents, each containing a Product Requirements Document (PRD) and Software Requirements Specification (SRS). Draft baseline dated 26 October 2026.</w:t>
      </w:r>
    </w:p>
    <w:p>
      <w:pPr>
        <w:pStyle w:val="Heading1"/>
      </w:pPr>
      <w:r>
        <w:t>Document inventory</w:t>
      </w:r>
    </w:p>
    <w:tbl>
      <w:tblPr>
        <w:tblStyle w:val="TableGrid"/>
        <w:tblW w:type="auto" w:w="0"/>
        <w:tblLook w:firstColumn="1" w:firstRow="1" w:lastColumn="0" w:lastRow="0" w:noHBand="0" w:noVBand="1" w:val="04A0"/>
      </w:tblPr>
      <w:tblGrid>
        <w:gridCol w:w="4320"/>
        <w:gridCol w:w="4320"/>
      </w:tblGrid>
      <w:tr>
        <w:tc>
          <w:tcPr>
            <w:tcW w:type="dxa" w:w="4320"/>
            <w:shd w:fill="29332C"/>
          </w:tcPr>
          <w:p>
            <w:r>
              <w:rPr>
                <w:b/>
                <w:color w:val="FFFFFF"/>
                <w:sz w:val="16"/>
              </w:rPr>
              <w:t>System</w:t>
            </w:r>
          </w:p>
        </w:tc>
        <w:tc>
          <w:tcPr>
            <w:tcW w:type="dxa" w:w="4320"/>
            <w:shd w:fill="29332C"/>
          </w:tcPr>
          <w:p>
            <w:r>
              <w:rPr>
                <w:b/>
                <w:color w:val="FFFFFF"/>
                <w:sz w:val="16"/>
              </w:rPr>
              <w:t>Document</w:t>
            </w:r>
          </w:p>
        </w:tc>
      </w:tr>
      <w:tr>
        <w:tc>
          <w:tcPr>
            <w:tcW w:type="dxa" w:w="4320"/>
          </w:tcPr>
          <w:p>
            <w:r>
              <w:rPr>
                <w:sz w:val="16"/>
              </w:rPr>
              <w:t>CORTEX-M Core Platform</w:t>
            </w:r>
          </w:p>
        </w:tc>
        <w:tc>
          <w:tcPr>
            <w:tcW w:type="dxa" w:w="4320"/>
          </w:tcPr>
          <w:p>
            <w:r>
              <w:rPr>
                <w:sz w:val="16"/>
              </w:rPr>
              <w:t>00_CORTEX_M_Core_PRD_SRS.docx + .md</w:t>
            </w:r>
          </w:p>
        </w:tc>
      </w:tr>
      <w:tr>
        <w:tc>
          <w:tcPr>
            <w:tcW w:type="dxa" w:w="4320"/>
          </w:tcPr>
          <w:p>
            <w:r>
              <w:rPr>
                <w:sz w:val="16"/>
              </w:rPr>
              <w:t>CORTEX-IDE / CortexCode</w:t>
            </w:r>
          </w:p>
        </w:tc>
        <w:tc>
          <w:tcPr>
            <w:tcW w:type="dxa" w:w="4320"/>
          </w:tcPr>
          <w:p>
            <w:r>
              <w:rPr>
                <w:sz w:val="16"/>
              </w:rPr>
              <w:t>01_CORTEX_IDE_PRD_SRS.docx + .md</w:t>
            </w:r>
          </w:p>
        </w:tc>
      </w:tr>
      <w:tr>
        <w:tc>
          <w:tcPr>
            <w:tcW w:type="dxa" w:w="4320"/>
          </w:tcPr>
          <w:p>
            <w:r>
              <w:rPr>
                <w:sz w:val="16"/>
              </w:rPr>
              <w:t>CORTEX-Personal</w:t>
            </w:r>
          </w:p>
        </w:tc>
        <w:tc>
          <w:tcPr>
            <w:tcW w:type="dxa" w:w="4320"/>
          </w:tcPr>
          <w:p>
            <w:r>
              <w:rPr>
                <w:sz w:val="16"/>
              </w:rPr>
              <w:t>02_CORTEX_Personal_PRD_SRS.docx + .md</w:t>
            </w:r>
          </w:p>
        </w:tc>
      </w:tr>
      <w:tr>
        <w:tc>
          <w:tcPr>
            <w:tcW w:type="dxa" w:w="4320"/>
          </w:tcPr>
          <w:p>
            <w:r>
              <w:rPr>
                <w:sz w:val="16"/>
              </w:rPr>
              <w:t>CORTEX-Fin</w:t>
            </w:r>
          </w:p>
        </w:tc>
        <w:tc>
          <w:tcPr>
            <w:tcW w:type="dxa" w:w="4320"/>
          </w:tcPr>
          <w:p>
            <w:r>
              <w:rPr>
                <w:sz w:val="16"/>
              </w:rPr>
              <w:t>03_CORTEX_Fin_PRD_SRS.docx + .md</w:t>
            </w:r>
          </w:p>
        </w:tc>
      </w:tr>
      <w:tr>
        <w:tc>
          <w:tcPr>
            <w:tcW w:type="dxa" w:w="4320"/>
          </w:tcPr>
          <w:p>
            <w:r>
              <w:rPr>
                <w:sz w:val="16"/>
              </w:rPr>
              <w:t>CORTEX-OS</w:t>
            </w:r>
          </w:p>
        </w:tc>
        <w:tc>
          <w:tcPr>
            <w:tcW w:type="dxa" w:w="4320"/>
          </w:tcPr>
          <w:p>
            <w:r>
              <w:rPr>
                <w:sz w:val="16"/>
              </w:rPr>
              <w:t>04_CORTEX_OS_PRD_SRS.docx + .md</w:t>
            </w:r>
          </w:p>
        </w:tc>
      </w:tr>
      <w:tr>
        <w:tc>
          <w:tcPr>
            <w:tcW w:type="dxa" w:w="4320"/>
          </w:tcPr>
          <w:p>
            <w:r>
              <w:rPr>
                <w:sz w:val="16"/>
              </w:rPr>
              <w:t>CORTEX-Robotics</w:t>
            </w:r>
          </w:p>
        </w:tc>
        <w:tc>
          <w:tcPr>
            <w:tcW w:type="dxa" w:w="4320"/>
          </w:tcPr>
          <w:p>
            <w:r>
              <w:rPr>
                <w:sz w:val="16"/>
              </w:rPr>
              <w:t>05_CORTEX_Robotics_PRD_SRS.docx + .md</w:t>
            </w:r>
          </w:p>
        </w:tc>
      </w:tr>
      <w:tr>
        <w:tc>
          <w:tcPr>
            <w:tcW w:type="dxa" w:w="4320"/>
          </w:tcPr>
          <w:p>
            <w:r>
              <w:rPr>
                <w:sz w:val="16"/>
              </w:rPr>
              <w:t>CORTEX-Mesh</w:t>
            </w:r>
          </w:p>
        </w:tc>
        <w:tc>
          <w:tcPr>
            <w:tcW w:type="dxa" w:w="4320"/>
          </w:tcPr>
          <w:p>
            <w:r>
              <w:rPr>
                <w:sz w:val="16"/>
              </w:rPr>
              <w:t>06_CORTEX_Mesh_PRD_SRS.docx + .md</w:t>
            </w:r>
          </w:p>
        </w:tc>
      </w:tr>
      <w:tr>
        <w:tc>
          <w:tcPr>
            <w:tcW w:type="dxa" w:w="4320"/>
          </w:tcPr>
          <w:p>
            <w:r>
              <w:rPr>
                <w:sz w:val="16"/>
              </w:rPr>
              <w:t>CORTEX-Health / BCI Research</w:t>
            </w:r>
          </w:p>
        </w:tc>
        <w:tc>
          <w:tcPr>
            <w:tcW w:type="dxa" w:w="4320"/>
          </w:tcPr>
          <w:p>
            <w:r>
              <w:rPr>
                <w:sz w:val="16"/>
              </w:rPr>
              <w:t>07_CORTEX_Health_BCI_PRD_SRS.docx + .md</w:t>
            </w:r>
          </w:p>
        </w:tc>
      </w:tr>
      <w:tr>
        <w:tc>
          <w:tcPr>
            <w:tcW w:type="dxa" w:w="4320"/>
          </w:tcPr>
          <w:p>
            <w:r>
              <w:rPr>
                <w:sz w:val="16"/>
              </w:rPr>
              <w:t>CORTEX-Space</w:t>
            </w:r>
          </w:p>
        </w:tc>
        <w:tc>
          <w:tcPr>
            <w:tcW w:type="dxa" w:w="4320"/>
          </w:tcPr>
          <w:p>
            <w:r>
              <w:rPr>
                <w:sz w:val="16"/>
              </w:rPr>
              <w:t>08_CORTEX_Space_PRD_SRS.docx + .md</w:t>
            </w:r>
          </w:p>
        </w:tc>
      </w:tr>
      <w:tr>
        <w:tc>
          <w:tcPr>
            <w:tcW w:type="dxa" w:w="4320"/>
          </w:tcPr>
          <w:p>
            <w:r>
              <w:rPr>
                <w:sz w:val="16"/>
              </w:rPr>
              <w:t>CortexLM Model Family</w:t>
            </w:r>
          </w:p>
        </w:tc>
        <w:tc>
          <w:tcPr>
            <w:tcW w:type="dxa" w:w="4320"/>
          </w:tcPr>
          <w:p>
            <w:r>
              <w:rPr>
                <w:sz w:val="16"/>
              </w:rPr>
              <w:t>09_CortexLM_PRD_SRS.docx + .md</w:t>
            </w:r>
          </w:p>
        </w:tc>
      </w:tr>
    </w:tbl>
    <w:p/>
    <w:p>
      <w:pPr>
        <w:pStyle w:val="Heading1"/>
      </w:pPr>
      <w:r>
        <w:t>Approval workflow</w:t>
      </w:r>
    </w:p>
    <w:p>
      <w:pPr>
        <w:pStyle w:val="ListNumber"/>
      </w:pPr>
      <w:r>
        <w:t>Product owner approves user needs, MVP, success metrics and non-goals.</w:t>
      </w:r>
    </w:p>
    <w:p>
      <w:pPr>
        <w:pStyle w:val="ListNumber"/>
      </w:pPr>
      <w:r>
        <w:t>Engineering reviews architecture, interfaces, data model and error behavior.</w:t>
      </w:r>
    </w:p>
    <w:p>
      <w:pPr>
        <w:pStyle w:val="ListNumber"/>
      </w:pPr>
      <w:r>
        <w:t>Security/privacy reviews threat model, access control, retention and deletion.</w:t>
      </w:r>
    </w:p>
    <w:p>
      <w:pPr>
        <w:pStyle w:val="ListNumber"/>
      </w:pPr>
      <w:r>
        <w:t>Domain specialists review finance, OS, robotics, health/BCI and space requirements as applicable.</w:t>
      </w:r>
    </w:p>
    <w:p>
      <w:pPr>
        <w:pStyle w:val="ListNumber"/>
      </w:pPr>
      <w:r>
        <w:t>QA maps each requirement ID to a test or justified inspection/analysis.</w:t>
      </w:r>
    </w:p>
    <w:p>
      <w:pPr>
        <w:pStyle w:val="ListNumber"/>
      </w:pPr>
      <w:r>
        <w:t>Approve a versioned baseline and manage changes through review.</w:t>
      </w:r>
    </w:p>
    <w:p>
      <w:pPr>
        <w:pStyle w:val="Heading1"/>
      </w:pPr>
      <w:r>
        <w:t>Important</w:t>
      </w:r>
    </w:p>
    <w:p>
      <w:r>
        <w:t>These are detailed draft requirements based on the original ecosystem plan and implementation master plan. Assumptions need owner confirmation. Performance numbers in concept material are not guarantees until reproduced on named hardware and workloads. Health/BCI, Robotics, Space, Finance and privileged OS work require domain-specific review before high-impact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