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50"/>
        </w:rPr>
        <w:t>CORTEX-IDE / CortexCode</w:t>
      </w:r>
    </w:p>
    <w:p>
      <w:pPr>
        <w:jc w:val="center"/>
      </w:pPr>
      <w:r>
        <w:rPr>
          <w:b/>
        </w:rPr>
        <w:t>PRODUCT REQUIREMENTS DOCUMENT (PRD) + SOFTWARE REQUIREMENTS SPECIFICATION (SRS)</w:t>
      </w:r>
    </w:p>
    <w:p>
      <w:pPr>
        <w:jc w:val="center"/>
      </w:pPr>
      <w:r>
        <w:t>Repository-aware coding agent and developer workspace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Value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Version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0.9 — Draft for review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Date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26 October 2026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Status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Proposed requirements; not approved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Basis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Original CORTEX ecosystem plan and implementation master plan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Evidence note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Concept performance numbers are targets until reproduced on named hardware and workload.</w:t>
            </w:r>
          </w:p>
        </w:tc>
      </w:tr>
    </w:tbl>
    <w:p/>
    <w:p>
      <w:pPr>
        <w:pStyle w:val="Heading1"/>
      </w:pPr>
      <w:r>
        <w:t>How to read this document</w:t>
      </w:r>
    </w:p>
    <w:p>
      <w:r>
        <w:t>PRD sections define users, outcomes, scope, workflows and success measures. SRS sections define testable system behavior, interfaces, data, quality attributes, security, failure behavior and verification. SHALL/MUST = required; SHOULD = recommended; MAY = optional. P0 = safety/security/correctness gate; P1 = MVP; P2 = later.</w:t>
      </w:r>
    </w:p>
    <w:p>
      <w:pPr>
        <w:pStyle w:val="Heading1"/>
      </w:pPr>
      <w:r>
        <w:t>PART A — PRODUCT REQUIREMENTS DOCUMENT (PRD)</w:t>
      </w:r>
    </w:p>
    <w:p>
      <w:pPr>
        <w:pStyle w:val="Heading2"/>
      </w:pPr>
      <w:r>
        <w:t>A1. Vision</w:t>
      </w:r>
    </w:p>
    <w:p>
      <w:r>
        <w:t>Help developers understand, modify, test, debug and review code while keeping them in control of changes and external actions.</w:t>
      </w:r>
    </w:p>
    <w:p>
      <w:pPr>
        <w:pStyle w:val="Heading2"/>
      </w:pPr>
      <w:r>
        <w:t>A2. Target users</w:t>
      </w:r>
    </w:p>
    <w:p>
      <w:pPr>
        <w:pStyle w:val="ListBullet"/>
      </w:pPr>
      <w:r>
        <w:t>Individual developers</w:t>
      </w:r>
    </w:p>
    <w:p>
      <w:pPr>
        <w:pStyle w:val="ListBullet"/>
      </w:pPr>
      <w:r>
        <w:t>Software teams</w:t>
      </w:r>
    </w:p>
    <w:p>
      <w:pPr>
        <w:pStyle w:val="ListBullet"/>
      </w:pPr>
      <w:r>
        <w:t>QA engineers</w:t>
      </w:r>
    </w:p>
    <w:p>
      <w:pPr>
        <w:pStyle w:val="ListBullet"/>
      </w:pPr>
      <w:r>
        <w:t>Technical leads/reviewers</w:t>
      </w:r>
    </w:p>
    <w:p>
      <w:pPr>
        <w:pStyle w:val="Heading2"/>
      </w:pPr>
      <w:r>
        <w:t>A3. Problems and desired outcomes</w:t>
      </w:r>
    </w:p>
    <w:p>
      <w:pPr>
        <w:pStyle w:val="ListBullet"/>
      </w:pPr>
      <w:r>
        <w:t>Large repositories are hard to navigate</w:t>
      </w:r>
    </w:p>
    <w:p>
      <w:pPr>
        <w:pStyle w:val="ListBullet"/>
      </w:pPr>
      <w:r>
        <w:t>Generated changes may be untested or too broad</w:t>
      </w:r>
    </w:p>
    <w:p>
      <w:pPr>
        <w:pStyle w:val="ListBullet"/>
      </w:pPr>
      <w:r>
        <w:t>Unsafe commands and unrelated file changes</w:t>
      </w:r>
    </w:p>
    <w:p>
      <w:pPr>
        <w:pStyle w:val="ListBullet"/>
      </w:pPr>
      <w:r>
        <w:t>False claims that tests passed</w:t>
      </w:r>
    </w:p>
    <w:p>
      <w:pPr>
        <w:pStyle w:val="Heading2"/>
      </w:pPr>
      <w:r>
        <w:t>A4. MVP scope</w:t>
      </w:r>
    </w:p>
    <w:p>
      <w:pPr>
        <w:pStyle w:val="ListBullet"/>
      </w:pPr>
      <w:r>
        <w:t>Workspace/Git discovery</w:t>
      </w:r>
    </w:p>
    <w:p>
      <w:pPr>
        <w:pStyle w:val="ListBullet"/>
      </w:pPr>
      <w:r>
        <w:t>Text and symbol search</w:t>
      </w:r>
    </w:p>
    <w:p>
      <w:pPr>
        <w:pStyle w:val="ListBullet"/>
      </w:pPr>
      <w:r>
        <w:t>Task plan and acceptance criteria</w:t>
      </w:r>
    </w:p>
    <w:p>
      <w:pPr>
        <w:pStyle w:val="ListBullet"/>
      </w:pPr>
      <w:r>
        <w:t>Patch edits and diff review</w:t>
      </w:r>
    </w:p>
    <w:p>
      <w:pPr>
        <w:pStyle w:val="ListBullet"/>
      </w:pPr>
      <w:r>
        <w:t>Sandboxed test/lint/build</w:t>
      </w:r>
    </w:p>
    <w:p>
      <w:pPr>
        <w:pStyle w:val="ListBullet"/>
      </w:pPr>
      <w:r>
        <w:t>Bounded repair loop</w:t>
      </w:r>
    </w:p>
    <w:p>
      <w:pPr>
        <w:pStyle w:val="ListBullet"/>
      </w:pPr>
      <w:r>
        <w:t>Verification report and task history</w:t>
      </w:r>
    </w:p>
    <w:p>
      <w:pPr>
        <w:pStyle w:val="Heading2"/>
      </w:pPr>
      <w:r>
        <w:t>A5. Release scope and non-goals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Scope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Exit gate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R1 / MVP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MVP features in this document; one end-to-end primary workflow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Workflow succeeds; core security/correctness tests pass; limitations documented.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More integrations, usability, reporting, automation and broader evaluation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Measured improvement against R1; no critical regression.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R3 / controlled pilot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Scale, team deployment or hardware/external integration where relevant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Domain/security review, runbook, rollback and approval.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Explicitly deferred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Unvalidated high-impact automation and unsupported performance claims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Separate requirements, risk review and acceptance evidence.</w:t>
            </w:r>
          </w:p>
        </w:tc>
      </w:tr>
    </w:tbl>
    <w:p/>
    <w:p>
      <w:pPr>
        <w:pStyle w:val="Heading2"/>
      </w:pPr>
      <w:r>
        <w:t>A6. Primary user journeys</w:t>
      </w:r>
    </w:p>
    <w:p>
      <w:pPr>
        <w:pStyle w:val="ListNumber"/>
      </w:pPr>
      <w:r>
        <w:t>Select repository → inspect Git state → index relevant code → plan task → show acceptance criteria → patch → sandbox tests → diff/evidence → accept or reject.</w:t>
      </w:r>
    </w:p>
    <w:p>
      <w:pPr>
        <w:pStyle w:val="ListNumber"/>
      </w:pPr>
      <w:r>
        <w:t>Test fails → analyze captured output → bounded repair → rerun → report actual passed/failed/skipped/not-run results.</w:t>
      </w:r>
    </w:p>
    <w:p>
      <w:pPr>
        <w:pStyle w:val="ListNumber"/>
      </w:pPr>
      <w:r>
        <w:t>Privileged/external action requested → policy gate → approval bound to exact action → execute or deny.</w:t>
      </w:r>
    </w:p>
    <w:p>
      <w:pPr>
        <w:pStyle w:val="Heading2"/>
      </w:pPr>
      <w:r>
        <w:t>A7. Product success measures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Metric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Definition and measurement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Task success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Share of benchmark tasks meeting explicit acceptance criteria; version the test set.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Quality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Domain-specific correctness, relevance and uncertainty; compare to a named baseline.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Error rate, recovery, cancellation and partial-completion behavior under fault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Latency percentiles, throughput, resource use and cost on named hardware/workloads.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Safety/security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Unauthorized actions, isolation failures and unsafe transitions from adversarial tests.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User task completion, clarity, accessibility and feedback from a defined pilot.</w:t>
            </w:r>
          </w:p>
        </w:tc>
      </w:tr>
    </w:tbl>
    <w:p/>
    <w:p>
      <w:pPr>
        <w:pStyle w:val="Heading2"/>
      </w:pPr>
      <w:r>
        <w:t>A8. Assumptions to validate</w:t>
      </w:r>
    </w:p>
    <w:p>
      <w:pPr>
        <w:pStyle w:val="ListBullet"/>
      </w:pPr>
      <w:r>
        <w:t>The first release is a prototype/research product unless the owner approves production scope.</w:t>
      </w:r>
    </w:p>
    <w:p>
      <w:pPr>
        <w:pStyle w:val="ListBullet"/>
      </w:pPr>
      <w:r>
        <w:t>Existing implementation, supported hardware and dependencies must be audited before committing estimates.</w:t>
      </w:r>
    </w:p>
    <w:p>
      <w:pPr>
        <w:pStyle w:val="ListBullet"/>
      </w:pPr>
      <w:r>
        <w:t>Data rights, retention, jurisdiction and domain-specific requirements must be confirmed.</w:t>
      </w:r>
    </w:p>
    <w:p>
      <w:pPr>
        <w:pStyle w:val="ListBullet"/>
      </w:pPr>
      <w:r>
        <w:t>A product owner and appropriate domain/security reviewers must approve the baseline.</w:t>
      </w:r>
    </w:p>
    <w:p>
      <w:r>
        <w:br w:type="page"/>
      </w:r>
    </w:p>
    <w:p>
      <w:pPr>
        <w:pStyle w:val="Heading1"/>
      </w:pPr>
      <w:r>
        <w:t>PART B — SOFTWARE REQUIREMENTS SPECIFICATION (SRS)</w:t>
      </w:r>
    </w:p>
    <w:p>
      <w:pPr>
        <w:pStyle w:val="Heading2"/>
      </w:pPr>
      <w:r>
        <w:t>B1. System context</w:t>
      </w:r>
    </w:p>
    <w:p>
      <w:r>
        <w:t>A product workflow over CORTEX-M runtime, model gateway, repository index, patch engine, isolated command executor and policy/approval services. Repository text and issue content are untrusted input.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Component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Responsibility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Boundary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UI / CLI / API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Collect inputs; display status, approvals, results and errors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UI is not a security boundary.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Workflow runtime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Task state, steps, budgets, retries and completion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 may propose; runtime validates.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Model/research logic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Generate analysis, predictions or proposals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Cannot grant its own permissions.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Deterministic services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Validation, persistence, authorization, safety and source-of-record operations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Must be testable without an LLM.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Persistence/observability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State, provenance, audit, artifacts and metrics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Retention, access and deletion are explicit.</w:t>
            </w:r>
          </w:p>
        </w:tc>
      </w:tr>
    </w:tbl>
    <w:p/>
    <w:p>
      <w:pPr>
        <w:pStyle w:val="Heading2"/>
      </w:pPr>
      <w:r>
        <w:t>B2. 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Priority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system SHALL identify workspace root, Git branch, dirty state and detected languages without uploading source by default.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indexer SHALL index configured files/symbols and exclude ignored paths, generated artifacts and configured secrets.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Search SHALL support filename, exact text, symbol and optional semantic queries with file/line references.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Each task plan SHALL list steps, assumptions, likely files and observable acceptance criteria editable by the user.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Context assembly SHALL respect a configurable budget and preserve source path/line metadata.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Edits SHALL be applied as reviewable patches and detect concurrent workspace modifications.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The UI SHALL show a diff and flag changes outside the planned scope before acceptance.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FR-IDE-008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Commands SHALL run in an isolated workspace with CPU, memory, process, time and network limits.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FR-IDE-009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Test/lint/build results SHALL record command, exit code, duration and captured output/artifact references.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FR-IDE-010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Repair loops SHALL have attempt/budget limits and stop after repeated failure or unsafe state.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FR-IDE-011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Commit, push, deployment, deletion and remote changes SHALL require configured authorization/approval.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FR-IDE-012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Completion reports SHALL derive test status from actual execution evidence, not model-generated claims.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FR-IDE-013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Task history MAY resume after revalidating repository state and current diff.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FR-IDE-014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Editor, issue tracker and CI integrations SHALL use scoped credentials and explicit permissions.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FR-IDE-015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P0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Repository content and issue text SHALL not be able to change tool permissions or override policy.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Unit + integration + end-to-end test</w:t>
            </w:r>
          </w:p>
        </w:tc>
      </w:tr>
    </w:tbl>
    <w:p/>
    <w:p>
      <w:pPr>
        <w:pStyle w:val="Heading2"/>
      </w:pPr>
      <w:r>
        <w:t>B3. Non-functional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Quality attribute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556"/>
            <w:shd w:fill="29332C"/>
          </w:tcPr>
          <w:p>
            <w:r>
              <w:rPr>
                <w:b/>
                <w:color w:val="FFFFFF"/>
                <w:sz w:val="16"/>
              </w:rPr>
              <w:t>Verification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NFR-IDE-001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Workspace safety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Writes outside the approved workspace are denied; symlink/path traversal is tested.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NFR-IDE-002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Reproducibility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Record repository revision, model/config, tools and verification results.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NFR-IDE-003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Users can inspect changes before accepting them and see why tasks stopped.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NFR-IDE-004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Measure index/search on representative repositories; incremental updates where possible.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NFR-IDE-005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Reliability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Crash/cancel must not produce false completion.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NFR-IDE-006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Security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No host credentials in untrusted execution; network disabled by default.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  <w:tr>
        <w:tc>
          <w:tcPr>
            <w:tcW w:type="dxa" w:w="2556"/>
          </w:tcPr>
          <w:p>
            <w:r>
              <w:rPr>
                <w:sz w:val="16"/>
              </w:rPr>
              <w:t>NFR-IDE-007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Compatibility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Document supported language/build tools and repository profiles.</w:t>
            </w:r>
          </w:p>
        </w:tc>
        <w:tc>
          <w:tcPr>
            <w:tcW w:type="dxa" w:w="2556"/>
          </w:tcPr>
          <w:p>
            <w:r>
              <w:rPr>
                <w:sz w:val="16"/>
              </w:rPr>
              <w:t>Test/inspection/analysis</w:t>
            </w:r>
          </w:p>
        </w:tc>
      </w:tr>
    </w:tbl>
    <w:p/>
    <w:p>
      <w:pPr>
        <w:pStyle w:val="Heading2"/>
      </w:pPr>
      <w:r>
        <w:t>B4. External interfaces</w:t>
      </w:r>
    </w:p>
    <w:p>
      <w:pPr>
        <w:pStyle w:val="ListBullet"/>
      </w:pPr>
      <w:r>
        <w:t>CORTEX-M runtime/model gateway</w:t>
      </w:r>
    </w:p>
    <w:p>
      <w:pPr>
        <w:pStyle w:val="ListBullet"/>
      </w:pPr>
      <w:r>
        <w:t>Filesystem and code index</w:t>
      </w:r>
    </w:p>
    <w:p>
      <w:pPr>
        <w:pStyle w:val="ListBullet"/>
      </w:pPr>
      <w:r>
        <w:t>Git</w:t>
      </w:r>
    </w:p>
    <w:p>
      <w:pPr>
        <w:pStyle w:val="ListBullet"/>
      </w:pPr>
      <w:r>
        <w:t>Sandbox executor</w:t>
      </w:r>
    </w:p>
    <w:p>
      <w:pPr>
        <w:pStyle w:val="ListBullet"/>
      </w:pPr>
      <w:r>
        <w:t>Test/lint/build tools</w:t>
      </w:r>
    </w:p>
    <w:p>
      <w:pPr>
        <w:pStyle w:val="ListBullet"/>
      </w:pPr>
      <w:r>
        <w:t>Optional editor/issue/CI integrations</w:t>
      </w:r>
    </w:p>
    <w:p>
      <w:pPr>
        <w:pStyle w:val="Heading2"/>
      </w:pPr>
      <w:r>
        <w:t>B5. Data requirements</w:t>
      </w:r>
    </w:p>
    <w:p>
      <w:pPr>
        <w:pStyle w:val="ListBullet"/>
      </w:pPr>
      <w:r>
        <w:t>Workspace metadata</w:t>
      </w:r>
    </w:p>
    <w:p>
      <w:pPr>
        <w:pStyle w:val="ListBullet"/>
      </w:pPr>
      <w:r>
        <w:t>Index and source locations</w:t>
      </w:r>
    </w:p>
    <w:p>
      <w:pPr>
        <w:pStyle w:val="ListBullet"/>
      </w:pPr>
      <w:r>
        <w:t>Plans and acceptance criteria</w:t>
      </w:r>
    </w:p>
    <w:p>
      <w:pPr>
        <w:pStyle w:val="ListBullet"/>
      </w:pPr>
      <w:r>
        <w:t>Patches/diffs</w:t>
      </w:r>
    </w:p>
    <w:p>
      <w:pPr>
        <w:pStyle w:val="ListBullet"/>
      </w:pPr>
      <w:r>
        <w:t>Commands/test results</w:t>
      </w:r>
    </w:p>
    <w:p>
      <w:pPr>
        <w:pStyle w:val="ListBullet"/>
      </w:pPr>
      <w:r>
        <w:t>Approvals and traces</w:t>
      </w:r>
    </w:p>
    <w:p>
      <w:pPr>
        <w:pStyle w:val="ListBullet"/>
      </w:pPr>
      <w:r>
        <w:t>Persistent entities require stable IDs and schema/version metadata where applicable.</w:t>
      </w:r>
    </w:p>
    <w:p>
      <w:pPr>
        <w:pStyle w:val="ListBullet"/>
      </w:pPr>
      <w:r>
        <w:t>Imported data and generated artifacts must retain provenance; generated text is not automatically a verified source.</w:t>
      </w:r>
    </w:p>
    <w:p>
      <w:pPr>
        <w:pStyle w:val="ListBullet"/>
      </w:pPr>
      <w:r>
        <w:t>Define retention, export, backup, restore and deletion behavior before production use.</w:t>
      </w:r>
    </w:p>
    <w:p>
      <w:pPr>
        <w:pStyle w:val="ListBullet"/>
      </w:pPr>
      <w:r>
        <w:t>Sensitive data must not enter source control, unredacted telemetry or training data without approved rights and purpose.</w:t>
      </w:r>
    </w:p>
    <w:p>
      <w:pPr>
        <w:pStyle w:val="Heading2"/>
      </w:pPr>
      <w:r>
        <w:t>B6. Error and recovery requirements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Condition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behavior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Invalid input/schema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Reject with stable error and field-level explanation; no partial protected action.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Model/provider timeout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Bound retries; record timeout; never claim completion.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Tool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Capture status/output safely; preserve task state; retry only when safe/idempotent.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Permission denied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execute; record reason; return safe explanation.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Cancellation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new work and cancel pending operations where possible; report already completed actions.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Persistence failure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Do not claim durable completion until commit succeeds.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Stale/corrupt source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Mark unavailable/stale and recover from canonical source where safe.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Budget exceeded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Stop at defined boundary and return partial progress and remaining risks.</w:t>
            </w:r>
          </w:p>
        </w:tc>
      </w:tr>
    </w:tbl>
    <w:p/>
    <w:p>
      <w:pPr>
        <w:pStyle w:val="Heading2"/>
      </w:pPr>
      <w:r>
        <w:t>B7. Security, privacy and safety</w:t>
      </w:r>
    </w:p>
    <w:p>
      <w:pPr>
        <w:pStyle w:val="ListBullet"/>
      </w:pPr>
      <w:r>
        <w:t>Apply least privilege and scope identity by user, tenant, task, tool and resource.</w:t>
      </w:r>
    </w:p>
    <w:p>
      <w:pPr>
        <w:pStyle w:val="ListBullet"/>
      </w:pPr>
      <w:r>
        <w:t>Treat external documents, code, web pages, telemetry and tool outputs as untrusted data, not policy instructions.</w:t>
      </w:r>
    </w:p>
    <w:p>
      <w:pPr>
        <w:pStyle w:val="ListBullet"/>
      </w:pPr>
      <w:r>
        <w:t>Bind approvals to exact high-impact actions and enforce policy in the executor, not only in the model or UI.</w:t>
      </w:r>
    </w:p>
    <w:p>
      <w:pPr>
        <w:pStyle w:val="ListBullet"/>
      </w:pPr>
      <w:r>
        <w:t>Isolate untrusted execution; enforce time, CPU, memory, process and network limits outside the model.</w:t>
      </w:r>
    </w:p>
    <w:p>
      <w:pPr>
        <w:pStyle w:val="ListBullet"/>
      </w:pPr>
      <w:r>
        <w:t>Maintain threat/risk registers and adversarial tests; keep AI advice separate from authoritative state transitions.</w:t>
      </w:r>
    </w:p>
    <w:p>
      <w:pPr>
        <w:pStyle w:val="Heading2"/>
      </w:pPr>
      <w:r>
        <w:t>B8. Verification and 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Test level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Coverage</w:t>
            </w:r>
          </w:p>
        </w:tc>
        <w:tc>
          <w:tcPr>
            <w:tcW w:type="dxa" w:w="3408"/>
            <w:shd w:fill="29332C"/>
          </w:tcPr>
          <w:p>
            <w:r>
              <w:rPr>
                <w:b/>
                <w:color w:val="FFFFFF"/>
                <w:sz w:val="16"/>
              </w:rPr>
              <w:t>Release rule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Unit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Pure logic, schemas, transforms and state transitions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in CI.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Contract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Model/tool/event/API schema compatibility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shared interfaces.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Integration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Persistence, providers, sandbox, permissions and adapters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changed components.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End-to-end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Primary user journeys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for MVP.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Security/adversarial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Injection, leakage, authorization bypass, resource exhaustion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pilot.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Performance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Named hardware/workload, p50/p95/p99 and resource limits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quantitative claims.</w:t>
            </w:r>
          </w:p>
        </w:tc>
      </w:tr>
      <w:tr>
        <w:tc>
          <w:tcPr>
            <w:tcW w:type="dxa" w:w="3408"/>
          </w:tcPr>
          <w:p>
            <w:r>
              <w:rPr>
                <w:sz w:val="16"/>
              </w:rPr>
              <w:t>Domain validation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Independent review for finance, OS, robotics, health or space as applicable</w:t>
            </w:r>
          </w:p>
        </w:tc>
        <w:tc>
          <w:tcPr>
            <w:tcW w:type="dxa" w:w="3408"/>
          </w:tcPr>
          <w:p>
            <w:r>
              <w:rPr>
                <w:sz w:val="16"/>
              </w:rPr>
              <w:t>Required before high-impact deployment.</w:t>
            </w:r>
          </w:p>
        </w:tc>
      </w:tr>
    </w:tbl>
    <w:p/>
    <w:p>
      <w:pPr>
        <w:pStyle w:val="Heading2"/>
      </w:pPr>
      <w:r>
        <w:t>B9. Acceptance criteria</w:t>
      </w:r>
    </w:p>
    <w:p>
      <w:pPr>
        <w:pStyle w:val="ListBullet"/>
      </w:pPr>
      <w:r>
        <w:t>Benchmark task produces a minimal patch and reviewable diff</w:t>
      </w:r>
    </w:p>
    <w:p>
      <w:pPr>
        <w:pStyle w:val="ListBullet"/>
      </w:pPr>
      <w:r>
        <w:t>Reported test status matches captured command output</w:t>
      </w:r>
    </w:p>
    <w:p>
      <w:pPr>
        <w:pStyle w:val="ListBullet"/>
      </w:pPr>
      <w:r>
        <w:t>Denied shell/network/file actions are blocked by executor</w:t>
      </w:r>
    </w:p>
    <w:p>
      <w:pPr>
        <w:pStyle w:val="ListBullet"/>
      </w:pPr>
      <w:r>
        <w:t>No unexplained files change in benchmark tasks</w:t>
      </w:r>
    </w:p>
    <w:p>
      <w:pPr>
        <w:pStyle w:val="ListBullet"/>
      </w:pPr>
      <w:r>
        <w:t>Cancellation/restart does not falsely complete or duplicate actions</w:t>
      </w:r>
    </w:p>
    <w:p>
      <w:pPr>
        <w:pStyle w:val="Heading2"/>
      </w:pPr>
      <w:r>
        <w:t>B10. Risks and mitigations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Risk</w:t>
            </w:r>
          </w:p>
        </w:tc>
        <w:tc>
          <w:tcPr>
            <w:tcW w:type="dxa" w:w="5112"/>
            <w:shd w:fill="29332C"/>
          </w:tcPr>
          <w:p>
            <w:r>
              <w:rPr>
                <w:b/>
                <w:color w:val="FFFFFF"/>
                <w:sz w:val="16"/>
              </w:rPr>
              <w:t>Required mitigation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Destructive edits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Secret exposure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Prompt injection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False test claims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  <w:tr>
        <w:tc>
          <w:tcPr>
            <w:tcW w:type="dxa" w:w="5112"/>
          </w:tcPr>
          <w:p>
            <w:r>
              <w:rPr>
                <w:sz w:val="16"/>
              </w:rPr>
              <w:t>Stale index</w:t>
            </w:r>
          </w:p>
        </w:tc>
        <w:tc>
          <w:tcPr>
            <w:tcW w:type="dxa" w:w="5112"/>
          </w:tcPr>
          <w:p>
            <w:r>
              <w:rPr>
                <w:sz w:val="16"/>
              </w:rPr>
              <w:t>Assign owner, control, regression test and release gate.</w:t>
            </w:r>
          </w:p>
        </w:tc>
      </w:tr>
    </w:tbl>
    <w:p/>
    <w:p>
      <w:pPr>
        <w:pStyle w:val="Heading2"/>
      </w:pPr>
      <w:r>
        <w:t>B11. Traceability and release control</w:t>
      </w:r>
    </w:p>
    <w:p>
      <w:r>
        <w:t>Every PRD goal SHALL map to SRS IDs; each requirement SHALL map to a test or justified inspection/analysis. Each release candidate SHALL record requirement coverage, test evidence, open defects, known limitations, dependency/model versions and approvals.</w:t>
      </w:r>
    </w:p>
    <w:p>
      <w:pPr>
        <w:pStyle w:val="Heading2"/>
      </w:pPr>
      <w:r>
        <w:t>B12. Open decisions</w:t>
      </w:r>
    </w:p>
    <w:p>
      <w:pPr>
        <w:pStyle w:val="ListBullet"/>
      </w:pPr>
      <w:r>
        <w:t>Confirm product owner, users, deployment profile and release scope.</w:t>
      </w:r>
    </w:p>
    <w:p>
      <w:pPr>
        <w:pStyle w:val="ListBullet"/>
      </w:pPr>
      <w:r>
        <w:t>Confirm supported OS/hardware, data sources and integrations.</w:t>
      </w:r>
    </w:p>
    <w:p>
      <w:pPr>
        <w:pStyle w:val="ListBullet"/>
      </w:pPr>
      <w:r>
        <w:t>Set numeric performance thresholds only after baseline profiling.</w:t>
      </w:r>
    </w:p>
    <w:p>
      <w:pPr>
        <w:pStyle w:val="ListBullet"/>
      </w:pPr>
      <w:r>
        <w:t>Confirm data classification, retention, legal/regulatory requirements and reviewers.</w:t>
      </w:r>
    </w:p>
    <w:p>
      <w:pPr>
        <w:pStyle w:val="Heading1"/>
      </w:pPr>
      <w:r>
        <w:t>Technical Architecture &amp; Mathematical Formulations</w:t>
      </w:r>
    </w:p>
    <w:p>
      <w:r>
        <w:t>### Technical Architecture &amp; Mathematical Foundations: CORTEX-IDE / CortexCode</w:t>
      </w:r>
    </w:p>
    <w:p>
      <w:r>
        <w:t>- **AST Symbol Resolution**: Abstract Syntax Tree parsing (`platforms/ide/src/ast_parser.py`) constructs complete symbol call graphs and cross-file reference DAGs without token truncation.</w:t>
      </w:r>
    </w:p>
    <w:p>
      <w:r>
        <w:t>- **Syntactic Diff Integrity**: AST Diff Engine (`platforms/ide/src/diff_engine.py`) enforces syntax-preserving AST chunk replacements with comment preservation and regression prevention.</w:t>
      </w:r>
    </w:p>
    <w:p>
      <w:r>
        <w:t>- **Isolated Subprocess Sandbox**: Deterministic subprocess execution (`platforms/ide/src/sandbox.py`) enforcing hard timeout ceilings ($5.0\text{ s}$ default), stripped environment variables, and strict memory limits.</w:t>
      </w:r>
    </w:p>
    <w:p>
      <w:r>
        <w:t>- **Multi-Agent Swarm Protocol**: 5W1H DAG execution across Architect, Coder, Critic, and Auditor personas with cryptographic approval gates prior to git mutation.</w:t>
      </w:r>
    </w:p>
    <w:p>
      <w:pPr>
        <w:pStyle w:val="Heading1"/>
      </w:pPr>
      <w:r>
        <w:t>Implemented Codebase Traceability</w:t>
      </w:r>
    </w:p>
    <w:p>
      <w:r>
        <w:t>### Implemented Codebase Traceability</w:t>
      </w:r>
    </w:p>
    <w:p>
      <w:r>
        <w:t>- **AST Parser**: `platforms/ide/src/ast_parser.py` (`ASTSymbolTableParser`)</w:t>
      </w:r>
    </w:p>
    <w:p>
      <w:r>
        <w:t>- **Diff Engine**: `platforms/ide/src/diff_engine.py` (`ASTDiffEngine`)</w:t>
      </w:r>
    </w:p>
    <w:p>
      <w:r>
        <w:t>- **Sandbox Runner**: `platforms/ide/src/sandbox.py` (`SubprocessSandboxRunner`)</w:t>
      </w:r>
    </w:p>
    <w:p>
      <w:r>
        <w:t>- **Swarm Orchestrator**: `platforms/ide/src/swarm.py` (`CortexCodeSwarm`)</w:t>
      </w:r>
    </w:p>
    <w:p>
      <w:r>
        <w:t>- **Gateway Dispatcher**: `execute_ide(action, params)` in `src/cortex_m/gateway.py`</w:t>
      </w:r>
    </w:p>
    <w:sectPr w:rsidR="00FC693F" w:rsidRPr="0006063C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CORTEX-IDE / CortexCode | PRD + SRS | Draft v0.9 | 26 Oct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232323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222D27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37533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8C5B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222D2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