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0"/>
        </w:rPr>
        <w:t>CORTEX-Personal</w:t>
      </w:r>
    </w:p>
    <w:p>
      <w:pPr>
        <w:jc w:val="center"/>
      </w:pPr>
      <w:r>
        <w:rPr>
          <w:b/>
        </w:rPr>
        <w:t>PRODUCT REQUIREMENTS DOCUMENT (PRD) + SOFTWARE REQUIREMENTS SPECIFICATION (SRS)</w:t>
      </w:r>
    </w:p>
    <w:p>
      <w:pPr>
        <w:jc w:val="center"/>
      </w:pPr>
      <w:r>
        <w:t>Local-first personal AI assistant for desktop and later mobile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Document control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Version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0.9 — Draft for review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Date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26 October 2026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Status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Proposed requirements; not approved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Basis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Original CORTEX ecosystem plan and implementation master plan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Evidence note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Concept performance numbers are targets until reproduced on named hardware and workload.</w:t>
            </w:r>
          </w:p>
        </w:tc>
      </w:tr>
    </w:tbl>
    <w:p/>
    <w:p>
      <w:pPr>
        <w:pStyle w:val="Heading1"/>
      </w:pPr>
      <w:r>
        <w:t>How to read this document</w:t>
      </w:r>
    </w:p>
    <w:p>
      <w:r>
        <w:t>PRD sections define users, outcomes, scope, workflows and success measures. SRS sections define testable system behavior, interfaces, data, quality attributes, security, failure behavior and verification. SHALL/MUST = required; SHOULD = recommended; MAY = optional. P0 = safety/security/correctness gate; P1 = MVP; P2 = later.</w:t>
      </w:r>
    </w:p>
    <w:p>
      <w:pPr>
        <w:pStyle w:val="Heading1"/>
      </w:pPr>
      <w:r>
        <w:t>PART A — PRODUCT REQUIREMENTS DOCUMENT (PRD)</w:t>
      </w:r>
    </w:p>
    <w:p>
      <w:pPr>
        <w:pStyle w:val="Heading2"/>
      </w:pPr>
      <w:r>
        <w:t>A1. Vision</w:t>
      </w:r>
    </w:p>
    <w:p>
      <w:r>
        <w:t>Provide private everyday assistance, conversation, document search and approved personal memory, with clear local versus cloud behavior.</w:t>
      </w:r>
    </w:p>
    <w:p>
      <w:pPr>
        <w:pStyle w:val="Heading2"/>
      </w:pPr>
      <w:r>
        <w:t>A2. Target users</w:t>
      </w:r>
    </w:p>
    <w:p>
      <w:pPr>
        <w:pStyle w:val="ListBullet"/>
      </w:pPr>
      <w:r>
        <w:t>Individual users</w:t>
      </w:r>
    </w:p>
    <w:p>
      <w:pPr>
        <w:pStyle w:val="ListBullet"/>
      </w:pPr>
      <w:r>
        <w:t>Privacy-conscious users</w:t>
      </w:r>
    </w:p>
    <w:p>
      <w:pPr>
        <w:pStyle w:val="ListBullet"/>
      </w:pPr>
      <w:r>
        <w:t>Offline users</w:t>
      </w:r>
    </w:p>
    <w:p>
      <w:pPr>
        <w:pStyle w:val="ListBullet"/>
      </w:pPr>
      <w:r>
        <w:t>Personal knowledge managers</w:t>
      </w:r>
    </w:p>
    <w:p>
      <w:pPr>
        <w:pStyle w:val="Heading2"/>
      </w:pPr>
      <w:r>
        <w:t>A3. Problems and desired outcomes</w:t>
      </w:r>
    </w:p>
    <w:p>
      <w:pPr>
        <w:pStyle w:val="ListBullet"/>
      </w:pPr>
      <w:r>
        <w:t>Personal context is fragmented</w:t>
      </w:r>
    </w:p>
    <w:p>
      <w:pPr>
        <w:pStyle w:val="ListBullet"/>
      </w:pPr>
      <w:r>
        <w:t>Local/cloud processing is unclear</w:t>
      </w:r>
    </w:p>
    <w:p>
      <w:pPr>
        <w:pStyle w:val="ListBullet"/>
      </w:pPr>
      <w:r>
        <w:t>Incorrect or unwanted memories persist</w:t>
      </w:r>
    </w:p>
    <w:p>
      <w:pPr>
        <w:pStyle w:val="ListBullet"/>
      </w:pPr>
      <w:r>
        <w:t>Offline claims may hide network dependencies</w:t>
      </w:r>
    </w:p>
    <w:p>
      <w:pPr>
        <w:pStyle w:val="Heading2"/>
      </w:pPr>
      <w:r>
        <w:t>A4. MVP scope</w:t>
      </w:r>
    </w:p>
    <w:p>
      <w:pPr>
        <w:pStyle w:val="ListBullet"/>
      </w:pPr>
      <w:r>
        <w:t>Chat/history</w:t>
      </w:r>
    </w:p>
    <w:p>
      <w:pPr>
        <w:pStyle w:val="ListBullet"/>
      </w:pPr>
      <w:r>
        <w:t>Local model profile</w:t>
      </w:r>
    </w:p>
    <w:p>
      <w:pPr>
        <w:pStyle w:val="ListBullet"/>
      </w:pPr>
      <w:r>
        <w:t>Local/cloud indicator</w:t>
      </w:r>
    </w:p>
    <w:p>
      <w:pPr>
        <w:pStyle w:val="ListBullet"/>
      </w:pPr>
      <w:r>
        <w:t>Opt-in memory</w:t>
      </w:r>
    </w:p>
    <w:p>
      <w:pPr>
        <w:pStyle w:val="ListBullet"/>
      </w:pPr>
      <w:r>
        <w:t>Document import/search</w:t>
      </w:r>
    </w:p>
    <w:p>
      <w:pPr>
        <w:pStyle w:val="ListBullet"/>
      </w:pPr>
      <w:r>
        <w:t>Memory inspect/edit/delete</w:t>
      </w:r>
    </w:p>
    <w:p>
      <w:pPr>
        <w:pStyle w:val="ListBullet"/>
      </w:pPr>
      <w:r>
        <w:t>Portable settings and backup</w:t>
      </w:r>
    </w:p>
    <w:p>
      <w:pPr>
        <w:pStyle w:val="Heading2"/>
      </w:pPr>
      <w:r>
        <w:t>A5. Release scope and non-goals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Release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Scope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Exit gate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R1 / MVP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MVP features in this document; one end-to-end primary workflow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Workflow succeeds; core security/correctness tests pass; limitations documented.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R2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More integrations, usability, reporting, automation and broader evaluation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Measured improvement against R1; no critical regression.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R3 / controlled pilot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Scale, team deployment or hardware/external integration where relevant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Domain/security review, runbook, rollback and approval.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Explicitly deferred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Unvalidated high-impact automation and unsupported performance claims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Separate requirements, risk review and acceptance evidence.</w:t>
            </w:r>
          </w:p>
        </w:tc>
      </w:tr>
    </w:tbl>
    <w:p/>
    <w:p>
      <w:pPr>
        <w:pStyle w:val="Heading2"/>
      </w:pPr>
      <w:r>
        <w:t>A6. Primary user journeys</w:t>
      </w:r>
    </w:p>
    <w:p>
      <w:pPr>
        <w:pStyle w:val="ListNumber"/>
      </w:pPr>
      <w:r>
        <w:t>Chat → show local/cloud route → use approved context/memory → answer with sources where relevant.</w:t>
      </w:r>
    </w:p>
    <w:p>
      <w:pPr>
        <w:pStyle w:val="ListNumber"/>
      </w:pPr>
      <w:r>
        <w:t>Import document → parse/index → show status → answer questions with source references.</w:t>
      </w:r>
    </w:p>
    <w:p>
      <w:pPr>
        <w:pStyle w:val="ListNumber"/>
      </w:pPr>
      <w:r>
        <w:t>Forget memory → locate record and derivatives → delete per retention policy → report result.</w:t>
      </w:r>
    </w:p>
    <w:p>
      <w:pPr>
        <w:pStyle w:val="Heading2"/>
      </w:pPr>
      <w:r>
        <w:t>A7. Product success measures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Metric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Definition and measurement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Task success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Share of benchmark tasks meeting explicit acceptance criteria; version the test set.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Quality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Domain-specific correctness, relevance and uncertainty; compare to a named baseline.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Reliability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Error rate, recovery, cancellation and partial-completion behavior under fault tests.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Performance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Latency percentiles, throughput, resource use and cost on named hardware/workloads.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Safety/security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Unauthorized actions, isolation failures and unsafe transitions from adversarial tests.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Usability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User task completion, clarity, accessibility and feedback from a defined pilot.</w:t>
            </w:r>
          </w:p>
        </w:tc>
      </w:tr>
    </w:tbl>
    <w:p/>
    <w:p>
      <w:pPr>
        <w:pStyle w:val="Heading2"/>
      </w:pPr>
      <w:r>
        <w:t>A8. Assumptions to validate</w:t>
      </w:r>
    </w:p>
    <w:p>
      <w:pPr>
        <w:pStyle w:val="ListBullet"/>
      </w:pPr>
      <w:r>
        <w:t>The first release is a prototype/research product unless the owner approves production scope.</w:t>
      </w:r>
    </w:p>
    <w:p>
      <w:pPr>
        <w:pStyle w:val="ListBullet"/>
      </w:pPr>
      <w:r>
        <w:t>Existing implementation, supported hardware and dependencies must be audited before committing estimates.</w:t>
      </w:r>
    </w:p>
    <w:p>
      <w:pPr>
        <w:pStyle w:val="ListBullet"/>
      </w:pPr>
      <w:r>
        <w:t>Data rights, retention, jurisdiction and domain-specific requirements must be confirmed.</w:t>
      </w:r>
    </w:p>
    <w:p>
      <w:pPr>
        <w:pStyle w:val="ListBullet"/>
      </w:pPr>
      <w:r>
        <w:t>A product owner and appropriate domain/security reviewers must approve the baseline.</w:t>
      </w:r>
    </w:p>
    <w:p>
      <w:r>
        <w:br w:type="page"/>
      </w:r>
    </w:p>
    <w:p>
      <w:pPr>
        <w:pStyle w:val="Heading1"/>
      </w:pPr>
      <w:r>
        <w:t>PART B — SOFTWARE REQUIREMENTS SPECIFICATION (SRS)</w:t>
      </w:r>
    </w:p>
    <w:p>
      <w:pPr>
        <w:pStyle w:val="Heading2"/>
      </w:pPr>
      <w:r>
        <w:t>B1. System context</w:t>
      </w:r>
    </w:p>
    <w:p>
      <w:r>
        <w:t>A personal client over CORTEX-M runtime, local/remote model adapters, scoped memory, local knowledge index and OS credential storage. Local-only mode must be verified with network disabled.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Responsibility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Boundary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UI / CLI / API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Collect inputs; display status, approvals, results and errors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UI is not a security boundary.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Workflow runtime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Task state, steps, budgets, retries and completion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Model may propose; runtime validates.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Model/research logic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Generate analysis, predictions or proposals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Cannot grant its own permissions.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Deterministic services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Validation, persistence, authorization, safety and source-of-record operations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Must be testable without an LLM.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Persistence/observability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State, provenance, audit, artifacts and metrics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Retention, access and deletion are explicit.</w:t>
            </w:r>
          </w:p>
        </w:tc>
      </w:tr>
    </w:tbl>
    <w:p/>
    <w:p>
      <w:pPr>
        <w:pStyle w:val="Heading2"/>
      </w:pPr>
      <w:r>
        <w:t>B2.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Priority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Verification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FR-PER-001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Users SHALL create, rename, archive, export and delete conversations with confirmation for destructive actions.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FR-PER-002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The client SHALL show available models, capability limits, privacy mode and resource requirements.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FR-PER-003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An advertised offline profile SHALL operate with network disabled for all included functions.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FR-PER-004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Long-lived personal memory SHALL be opt-in and distinguish persistent memory from temporary context.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FR-PER-005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Users SHALL inspect, correct, disable, export and delete memories with visible source and scope.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FR-PER-006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The knowledge library SHALL import supported files and preserve original source references.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FR-PER-007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Local tools SHALL operate only within user-approved scopes.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FR-PER-008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Before sensitive content is sent remotely, the UI SHALL disclose remote inference or external access.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FR-PER-009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Settings, conversations and user-owned memory SHOULD export to documented versioned formats.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FR-PER-010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Reminders/automation SHALL require explicit configuration and expose active status.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FR-PER-011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Multi-device sync, if enabled, SHALL be opt-in and access-controlled.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FR-PER-012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Deletion SHALL cover primary records and derived indexes/caches under documented backup retention.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</w:tbl>
    <w:p/>
    <w:p>
      <w:pPr>
        <w:pStyle w:val="Heading2"/>
      </w:pPr>
      <w:r>
        <w:t>B3. Non-functional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Quality attribute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Verification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NFR-PER-001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Privacy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Offline mode must be tested with network disabled.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NFR-PER-002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Usability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Memory and local/cloud state must be understandable without technical expertise.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NFR-PER-003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Performance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Measure startup, first-token latency, RAM and battery per named device.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NFR-PER-004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Portability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Exports and settings use documented versioned formats.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NFR-PER-005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Protection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Use platform secret storage and encryption for synced data where available.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NFR-PER-006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Reliability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Backups must restore and indexes must be rebuildable from source files.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NFR-PER-007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Honesty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Do not label a workflow offline if any required component contacts a remote service.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</w:tbl>
    <w:p/>
    <w:p>
      <w:pPr>
        <w:pStyle w:val="Heading2"/>
      </w:pPr>
      <w:r>
        <w:t>B4. External interfaces</w:t>
      </w:r>
    </w:p>
    <w:p>
      <w:pPr>
        <w:pStyle w:val="ListBullet"/>
      </w:pPr>
      <w:r>
        <w:t>CORTEX-M runtime</w:t>
      </w:r>
    </w:p>
    <w:p>
      <w:pPr>
        <w:pStyle w:val="ListBullet"/>
      </w:pPr>
      <w:r>
        <w:t>Local/remote model backends</w:t>
      </w:r>
    </w:p>
    <w:p>
      <w:pPr>
        <w:pStyle w:val="ListBullet"/>
      </w:pPr>
      <w:r>
        <w:t>Local filesystem and document index</w:t>
      </w:r>
    </w:p>
    <w:p>
      <w:pPr>
        <w:pStyle w:val="ListBullet"/>
      </w:pPr>
      <w:r>
        <w:t>OS credential store</w:t>
      </w:r>
    </w:p>
    <w:p>
      <w:pPr>
        <w:pStyle w:val="ListBullet"/>
      </w:pPr>
      <w:r>
        <w:t>Optional sync service</w:t>
      </w:r>
    </w:p>
    <w:p>
      <w:pPr>
        <w:pStyle w:val="Heading2"/>
      </w:pPr>
      <w:r>
        <w:t>B5. Data requirements</w:t>
      </w:r>
    </w:p>
    <w:p>
      <w:pPr>
        <w:pStyle w:val="ListBullet"/>
      </w:pPr>
      <w:r>
        <w:t>Conversations</w:t>
      </w:r>
    </w:p>
    <w:p>
      <w:pPr>
        <w:pStyle w:val="ListBullet"/>
      </w:pPr>
      <w:r>
        <w:t>Approved memories</w:t>
      </w:r>
    </w:p>
    <w:p>
      <w:pPr>
        <w:pStyle w:val="ListBullet"/>
      </w:pPr>
      <w:r>
        <w:t>Document metadata/indexes</w:t>
      </w:r>
    </w:p>
    <w:p>
      <w:pPr>
        <w:pStyle w:val="ListBullet"/>
      </w:pPr>
      <w:r>
        <w:t>Settings/model profiles</w:t>
      </w:r>
    </w:p>
    <w:p>
      <w:pPr>
        <w:pStyle w:val="ListBullet"/>
      </w:pPr>
      <w:r>
        <w:t>Automation definitions</w:t>
      </w:r>
    </w:p>
    <w:p>
      <w:pPr>
        <w:pStyle w:val="ListBullet"/>
      </w:pPr>
      <w:r>
        <w:t>Backup manifests</w:t>
      </w:r>
    </w:p>
    <w:p>
      <w:pPr>
        <w:pStyle w:val="ListBullet"/>
      </w:pPr>
      <w:r>
        <w:t>Persistent entities require stable IDs and schema/version metadata where applicable.</w:t>
      </w:r>
    </w:p>
    <w:p>
      <w:pPr>
        <w:pStyle w:val="ListBullet"/>
      </w:pPr>
      <w:r>
        <w:t>Imported data and generated artifacts must retain provenance; generated text is not automatically a verified source.</w:t>
      </w:r>
    </w:p>
    <w:p>
      <w:pPr>
        <w:pStyle w:val="ListBullet"/>
      </w:pPr>
      <w:r>
        <w:t>Define retention, export, backup, restore and deletion behavior before production use.</w:t>
      </w:r>
    </w:p>
    <w:p>
      <w:pPr>
        <w:pStyle w:val="ListBullet"/>
      </w:pPr>
      <w:r>
        <w:t>Sensitive data must not enter source control, unredacted telemetry or training data without approved rights and purpose.</w:t>
      </w:r>
    </w:p>
    <w:p>
      <w:pPr>
        <w:pStyle w:val="Heading2"/>
      </w:pPr>
      <w:r>
        <w:t>B6. Error and recovery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Condition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Required behavior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Invalid input/schema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Reject with stable error and field-level explanation; no partial protected action.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Model/provider timeout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Bound retries; record timeout; never claim completion.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Tool failure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Capture status/output safely; preserve task state; retry only when safe/idempotent.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Permission denied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Do not execute; record reason; return safe explanation.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Cancellation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Stop new work and cancel pending operations where possible; report already completed actions.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Persistence failure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Do not claim durable completion until commit succeeds.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Stale/corrupt source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Mark unavailable/stale and recover from canonical source where safe.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Budget exceeded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Stop at defined boundary and return partial progress and remaining risks.</w:t>
            </w:r>
          </w:p>
        </w:tc>
      </w:tr>
    </w:tbl>
    <w:p/>
    <w:p>
      <w:pPr>
        <w:pStyle w:val="Heading2"/>
      </w:pPr>
      <w:r>
        <w:t>B7. Security, privacy and safety</w:t>
      </w:r>
    </w:p>
    <w:p>
      <w:pPr>
        <w:pStyle w:val="ListBullet"/>
      </w:pPr>
      <w:r>
        <w:t>Apply least privilege and scope identity by user, tenant, task, tool and resource.</w:t>
      </w:r>
    </w:p>
    <w:p>
      <w:pPr>
        <w:pStyle w:val="ListBullet"/>
      </w:pPr>
      <w:r>
        <w:t>Treat external documents, code, web pages, telemetry and tool outputs as untrusted data, not policy instructions.</w:t>
      </w:r>
    </w:p>
    <w:p>
      <w:pPr>
        <w:pStyle w:val="ListBullet"/>
      </w:pPr>
      <w:r>
        <w:t>Bind approvals to exact high-impact actions and enforce policy in the executor, not only in the model or UI.</w:t>
      </w:r>
    </w:p>
    <w:p>
      <w:pPr>
        <w:pStyle w:val="ListBullet"/>
      </w:pPr>
      <w:r>
        <w:t>Isolate untrusted execution; enforce time, CPU, memory, process and network limits outside the model.</w:t>
      </w:r>
    </w:p>
    <w:p>
      <w:pPr>
        <w:pStyle w:val="ListBullet"/>
      </w:pPr>
      <w:r>
        <w:t>Maintain threat/risk registers and adversarial tests; keep AI advice separate from authoritative state transitions.</w:t>
      </w:r>
    </w:p>
    <w:p>
      <w:pPr>
        <w:pStyle w:val="Heading2"/>
      </w:pPr>
      <w:r>
        <w:t>B8. Verification and validation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Test level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Coverage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Release rule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Unit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Pure logic, schemas, transforms and state transitions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in CI.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Contract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Model/tool/event/API schema compatibility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for shared interfaces.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Integration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Persistence, providers, sandbox, permissions and adapters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for changed components.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End-to-end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Primary user journeys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for MVP.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Security/adversarial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Injection, leakage, authorization bypass, resource exhaustion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before pilot.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Performance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Named hardware/workload, p50/p95/p99 and resource limits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before quantitative claims.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Domain validation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Independent review for finance, OS, robotics, health or space as applicable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before high-impact deployment.</w:t>
            </w:r>
          </w:p>
        </w:tc>
      </w:tr>
    </w:tbl>
    <w:p/>
    <w:p>
      <w:pPr>
        <w:pStyle w:val="Heading2"/>
      </w:pPr>
      <w:r>
        <w:t>B9. Acceptance criteria</w:t>
      </w:r>
    </w:p>
    <w:p>
      <w:pPr>
        <w:pStyle w:val="ListBullet"/>
      </w:pPr>
      <w:r>
        <w:t>Offline profile works with network disabled</w:t>
      </w:r>
    </w:p>
    <w:p>
      <w:pPr>
        <w:pStyle w:val="ListBullet"/>
      </w:pPr>
      <w:r>
        <w:t>User can inspect/delete memory and searchable derivatives</w:t>
      </w:r>
    </w:p>
    <w:p>
      <w:pPr>
        <w:pStyle w:val="ListBullet"/>
      </w:pPr>
      <w:r>
        <w:t>Cloud use is disclosed before sensitive transmission</w:t>
      </w:r>
    </w:p>
    <w:p>
      <w:pPr>
        <w:pStyle w:val="ListBullet"/>
      </w:pPr>
      <w:r>
        <w:t>Backup/export restores in a clean profile</w:t>
      </w:r>
    </w:p>
    <w:p>
      <w:pPr>
        <w:pStyle w:val="ListBullet"/>
      </w:pPr>
      <w:r>
        <w:t>Performance claims identify model and hardware</w:t>
      </w:r>
    </w:p>
    <w:p>
      <w:pPr>
        <w:pStyle w:val="Heading2"/>
      </w:pPr>
      <w:r>
        <w:t>B10. Risks and mitigations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Risk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Required mitigation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Accidental cloud transmission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Unwanted memory retention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Sync data loss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Mobile footprint not achievable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</w:tbl>
    <w:p/>
    <w:p>
      <w:pPr>
        <w:pStyle w:val="Heading2"/>
      </w:pPr>
      <w:r>
        <w:t>B11. Traceability and release control</w:t>
      </w:r>
    </w:p>
    <w:p>
      <w:r>
        <w:t>Every PRD goal SHALL map to SRS IDs; each requirement SHALL map to a test or justified inspection/analysis. Each release candidate SHALL record requirement coverage, test evidence, open defects, known limitations, dependency/model versions and approvals.</w:t>
      </w:r>
    </w:p>
    <w:p>
      <w:pPr>
        <w:pStyle w:val="Heading2"/>
      </w:pPr>
      <w:r>
        <w:t>B12. Open decisions</w:t>
      </w:r>
    </w:p>
    <w:p>
      <w:pPr>
        <w:pStyle w:val="ListBullet"/>
      </w:pPr>
      <w:r>
        <w:t>Confirm product owner, users, deployment profile and release scope.</w:t>
      </w:r>
    </w:p>
    <w:p>
      <w:pPr>
        <w:pStyle w:val="ListBullet"/>
      </w:pPr>
      <w:r>
        <w:t>Confirm supported OS/hardware, data sources and integrations.</w:t>
      </w:r>
    </w:p>
    <w:p>
      <w:pPr>
        <w:pStyle w:val="ListBullet"/>
      </w:pPr>
      <w:r>
        <w:t>Set numeric performance thresholds only after baseline profiling.</w:t>
      </w:r>
    </w:p>
    <w:p>
      <w:pPr>
        <w:pStyle w:val="ListBullet"/>
      </w:pPr>
      <w:r>
        <w:t>Confirm data classification, retention, legal/regulatory requirements and reviewers.</w:t>
      </w:r>
    </w:p>
    <w:p>
      <w:pPr>
        <w:pStyle w:val="Heading1"/>
      </w:pPr>
      <w:r>
        <w:t>Technical Architecture &amp; Mathematical Formulations</w:t>
      </w:r>
    </w:p>
    <w:p>
      <w:r>
        <w:t>### Technical Architecture &amp; Mathematical Foundations: CORTEX-Personal</w:t>
      </w:r>
    </w:p>
    <w:p>
      <w:r>
        <w:t>- **Tabula Rasa Epistemic Verification**: Projection onto synaptic weight matrix $W_{\text{personal}}$ determines evidence threshold $S = \|W x\| / \|x\|$. If $S &lt; \tau_{\text{novelty}}$, returns `INSUFFICIENT_EVIDENCE` (honest abstention).</w:t>
      </w:r>
    </w:p>
    <w:p>
      <w:r>
        <w:t>- **Continuous Online Hebbian Imprinting**: Weight adaptation uses bounded outer-product updates $\Delta W = \eta (z z^T - \alpha W)$ with instant anti-Hebbian unlearning for exact GDPR privacy erasure.</w:t>
      </w:r>
    </w:p>
    <w:p>
      <w:r>
        <w:t>- **Ultralight Low-Rank Tenant Paging**: Factorizes user memory into low-rank slices ($2.0\text{ KB}$ per tenant factor) consuming $&lt; 15\text{ MB}$ total runtime RAM.</w:t>
      </w:r>
    </w:p>
    <w:p>
      <w:r>
        <w:t>- **Zero-Egress Security Interlock**: Hardware socket interlock (`platforms/personal/src/interlock.py`) guarantees $0.0\text{ KB}$ external WAN transmission with AES-256-GCM encrypted persistence.</w:t>
      </w:r>
    </w:p>
    <w:p>
      <w:pPr>
        <w:pStyle w:val="Heading1"/>
      </w:pPr>
      <w:r>
        <w:t>Implemented Codebase Traceability</w:t>
      </w:r>
    </w:p>
    <w:p>
      <w:r>
        <w:t>### Implemented Codebase Traceability</w:t>
      </w:r>
    </w:p>
    <w:p>
      <w:r>
        <w:t>- **Personal Substrate**: `platforms/personal/src/substrate.py` (`PersonalSubstrateCoordinator`)</w:t>
      </w:r>
    </w:p>
    <w:p>
      <w:r>
        <w:t>- **Zero-Egress Interlock**: `platforms/personal/src/interlock.py` (`ZeroEgressInterlock`)</w:t>
      </w:r>
    </w:p>
    <w:p>
      <w:r>
        <w:t>- **Tenant Paging**: `platforms/personal/src/tenant_paging.py` (`PersonalTenantPagingEngine`)</w:t>
      </w:r>
    </w:p>
    <w:p>
      <w:r>
        <w:t>- **Encrypted Vault**: `platforms/personal/src/vault.py` (`EncryptedPersonalVault`)</w:t>
      </w:r>
    </w:p>
    <w:p>
      <w:r>
        <w:t>- **Gateway Dispatcher**: `execute_personal(action, params)` in `src/cortex_m/gateway.py`</w:t>
      </w:r>
    </w:p>
    <w:p>
      <w:pPr>
        <w:pStyle w:val="Heading1"/>
      </w:pPr>
      <w:r>
        <w:t>Technical Architecture &amp; Mathematical Formulations</w:t>
      </w:r>
    </w:p>
    <w:p>
      <w:r>
        <w:t>### Technical Architecture &amp; Mathematical Foundations: CORTEX-Personal</w:t>
      </w:r>
    </w:p>
    <w:p>
      <w:r>
        <w:t>- **Tabula Rasa Epistemic Verification**: Projection onto synaptic weight matrix $W_{\text{personal}}$ determines evidence threshold $S = \|W x\| / \|x\|$. If $S &lt; \tau_{\text{novelty}}$, returns `INSUFFICIENT_EVIDENCE` (honest abstention).</w:t>
      </w:r>
    </w:p>
    <w:p>
      <w:r>
        <w:t>- **Continuous Online Hebbian Imprinting**: Weight adaptation uses bounded outer-product updates $\Delta W = \eta (z z^T - \alpha W)$ with instant anti-Hebbian unlearning for exact GDPR privacy erasure.</w:t>
      </w:r>
    </w:p>
    <w:p>
      <w:r>
        <w:t>- **Ultralight Low-Rank Tenant Factor Paging**: Factorizes user memory into low-rank slices ($2.0\text{ KB}$ rank-4 factors per tenant):</w:t>
      </w:r>
    </w:p>
    <w:p>
      <w:r>
        <w:t>$$\Delta W_{\text{tenant}} = U_{\text{tenant}} V_{\text{tenant}}^T$$</w:t>
      </w:r>
    </w:p>
    <w:p>
      <w:r>
        <w:t>with disk-backed serialization (`page_out_to_disk`, `page_in_from_disk`) consuming $&lt; 15\text{ MB}$ total runtime RAM.</w:t>
      </w:r>
    </w:p>
    <w:p>
      <w:r>
        <w:t>- **Zero-Egress Security Interlock**: Hardware socket interlock (`platforms/personal/src/interlock.py`) guarantees $0.0\text{ KB}$ external WAN transmission with AES-256-GCM / PBKDF2-HMAC-SHA256 encrypted persistence.</w:t>
      </w:r>
    </w:p>
    <w:p>
      <w:pPr>
        <w:pStyle w:val="Heading1"/>
      </w:pPr>
      <w:r>
        <w:t>Implemented Codebase Traceability</w:t>
      </w:r>
    </w:p>
    <w:p>
      <w:r>
        <w:t>### Implemented Codebase Traceability</w:t>
      </w:r>
    </w:p>
    <w:p>
      <w:r>
        <w:t>- **Personal Substrate**: `platforms/personal/src/substrate.py` (`PersonalSubstrateCoordinator`)</w:t>
      </w:r>
    </w:p>
    <w:p>
      <w:r>
        <w:t>- **Zero-Egress Interlock**: `platforms/personal/src/interlock.py` (`ZeroEgressInterlock`)</w:t>
      </w:r>
    </w:p>
    <w:p>
      <w:r>
        <w:t>- **Tenant Paging**: `platforms/personal/src/tenant_paging.py` (`PersonalTenantPagingEngine`, `TenantFactorSlice`)</w:t>
      </w:r>
    </w:p>
    <w:p>
      <w:r>
        <w:t>- **Encrypted Vault**: `platforms/personal/src/vault.py` (`EncryptedPersonalVault`)</w:t>
      </w:r>
    </w:p>
    <w:p>
      <w:r>
        <w:t>- **Gateway Dispatcher**: `execute_personal(action, params)` in `src/cortex_m/gateway.py`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CORTEX-Personal | PRD + SRS | Draft v0.9 | 26 Oct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3232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222D27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7533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8C5B4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222D2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