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0"/>
        </w:rPr>
        <w:t>CORTEX-Fin</w:t>
      </w:r>
    </w:p>
    <w:p>
      <w:pPr>
        <w:jc w:val="center"/>
      </w:pPr>
      <w:r>
        <w:rPr>
          <w:b/>
        </w:rPr>
        <w:t>PRODUCT REQUIREMENTS DOCUMENT (PRD) + SOFTWARE REQUIREMENTS SPECIFICATION (SRS)</w:t>
      </w:r>
    </w:p>
    <w:p>
      <w:pPr>
        <w:jc w:val="center"/>
      </w:pPr>
      <w:r>
        <w:t>Financial analytics, fraud/risk research, replay and shadow-mode evaluation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0.9 — Draft for review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Date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26 October 2026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Proposed requirements; not approved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Basis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Original CORTEX ecosystem plan and implementation master plan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Evidence note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Concept performance numbers are targets until reproduced on named hardware and workload.</w:t>
            </w:r>
          </w:p>
        </w:tc>
      </w:tr>
    </w:tbl>
    <w:p/>
    <w:p>
      <w:pPr>
        <w:pStyle w:val="Heading1"/>
      </w:pPr>
      <w:r>
        <w:t>How to read this document</w:t>
      </w:r>
    </w:p>
    <w:p>
      <w:r>
        <w:t>PRD sections define users, outcomes, scope, workflows and success measures. SRS sections define testable system behavior, interfaces, data, quality attributes, security, failure behavior and verification. SHALL/MUST = required; SHOULD = recommended; MAY = optional. P0 = safety/security/correctness gate; P1 = MVP; P2 = later.</w:t>
      </w:r>
    </w:p>
    <w:p>
      <w:pPr>
        <w:pStyle w:val="Heading1"/>
      </w:pPr>
      <w:r>
        <w:t>PART A — PRODUCT REQUIREMENTS DOCUMENT (PRD)</w:t>
      </w:r>
    </w:p>
    <w:p>
      <w:pPr>
        <w:pStyle w:val="Heading2"/>
      </w:pPr>
      <w:r>
        <w:t>A1. Vision</w:t>
      </w:r>
    </w:p>
    <w:p>
      <w:r>
        <w:t>Analyze transaction-like data and evaluate risk models with explainable, auditable outputs before any live decision integration.</w:t>
      </w:r>
    </w:p>
    <w:p>
      <w:pPr>
        <w:pStyle w:val="Heading2"/>
      </w:pPr>
      <w:r>
        <w:t>A2. Target users</w:t>
      </w:r>
    </w:p>
    <w:p>
      <w:pPr>
        <w:pStyle w:val="ListBullet"/>
      </w:pPr>
      <w:r>
        <w:t>Fraud/risk analysts</w:t>
      </w:r>
    </w:p>
    <w:p>
      <w:pPr>
        <w:pStyle w:val="ListBullet"/>
      </w:pPr>
      <w:r>
        <w:t>Financial data scientists</w:t>
      </w:r>
    </w:p>
    <w:p>
      <w:pPr>
        <w:pStyle w:val="ListBullet"/>
      </w:pPr>
      <w:r>
        <w:t>Compliance/audit teams</w:t>
      </w:r>
    </w:p>
    <w:p>
      <w:pPr>
        <w:pStyle w:val="ListBullet"/>
      </w:pPr>
      <w:r>
        <w:t>Reliability engineers</w:t>
      </w:r>
    </w:p>
    <w:p>
      <w:pPr>
        <w:pStyle w:val="Heading2"/>
      </w:pPr>
      <w:r>
        <w:t>A3. Problems and desired outcomes</w:t>
      </w:r>
    </w:p>
    <w:p>
      <w:pPr>
        <w:pStyle w:val="ListBullet"/>
      </w:pPr>
      <w:r>
        <w:t>Risk patterns drift</w:t>
      </w:r>
    </w:p>
    <w:p>
      <w:pPr>
        <w:pStyle w:val="ListBullet"/>
      </w:pPr>
      <w:r>
        <w:t>Future data can leak into evaluation</w:t>
      </w:r>
    </w:p>
    <w:p>
      <w:pPr>
        <w:pStyle w:val="ListBullet"/>
      </w:pPr>
      <w:r>
        <w:t>Scores may be uncalibrated or unexplained</w:t>
      </w:r>
    </w:p>
    <w:p>
      <w:pPr>
        <w:pStyle w:val="ListBullet"/>
      </w:pPr>
      <w:r>
        <w:t>Latency measurements may omit queueing and integration</w:t>
      </w:r>
    </w:p>
    <w:p>
      <w:pPr>
        <w:pStyle w:val="Heading2"/>
      </w:pPr>
      <w:r>
        <w:t>A4. MVP scope</w:t>
      </w:r>
    </w:p>
    <w:p>
      <w:pPr>
        <w:pStyle w:val="ListBullet"/>
      </w:pPr>
      <w:r>
        <w:t>Approved historical/synthetic data</w:t>
      </w:r>
    </w:p>
    <w:p>
      <w:pPr>
        <w:pStyle w:val="ListBullet"/>
      </w:pPr>
      <w:r>
        <w:t>Schema validation</w:t>
      </w:r>
    </w:p>
    <w:p>
      <w:pPr>
        <w:pStyle w:val="ListBullet"/>
      </w:pPr>
      <w:r>
        <w:t>Baseline scoring</w:t>
      </w:r>
    </w:p>
    <w:p>
      <w:pPr>
        <w:pStyle w:val="ListBullet"/>
      </w:pPr>
      <w:r>
        <w:t>Time-based evaluation</w:t>
      </w:r>
    </w:p>
    <w:p>
      <w:pPr>
        <w:pStyle w:val="ListBullet"/>
      </w:pPr>
      <w:r>
        <w:t>Replay engine</w:t>
      </w:r>
    </w:p>
    <w:p>
      <w:pPr>
        <w:pStyle w:val="ListBullet"/>
      </w:pPr>
      <w:r>
        <w:t>Explainable reports</w:t>
      </w:r>
    </w:p>
    <w:p>
      <w:pPr>
        <w:pStyle w:val="ListBullet"/>
      </w:pPr>
      <w:r>
        <w:t>Shadow mode without transaction authority</w:t>
      </w:r>
    </w:p>
    <w:p>
      <w:pPr>
        <w:pStyle w:val="Heading2"/>
      </w:pPr>
      <w:r>
        <w:t>A5. Release scope and non-goals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Release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Scope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Exit gate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R1 / MVP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MVP features in this document; one end-to-end primary workflow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Workflow succeeds; core security/correctness tests pass; limitations documented.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More integrations, usability, reporting, automation and broader evaluation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Measured improvement against R1; no critical regression.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R3 / controlled pilot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Scale, team deployment or hardware/external integration where relevant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Domain/security review, runbook, rollback and approval.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Explicitly deferred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Unvalidated high-impact automation and unsupported performance claims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Separate requirements, risk review and acceptance evidence.</w:t>
            </w:r>
          </w:p>
        </w:tc>
      </w:tr>
    </w:tbl>
    <w:p/>
    <w:p>
      <w:pPr>
        <w:pStyle w:val="Heading2"/>
      </w:pPr>
      <w:r>
        <w:t>A6. Primary user journeys</w:t>
      </w:r>
    </w:p>
    <w:p>
      <w:pPr>
        <w:pStyle w:val="ListNumber"/>
      </w:pPr>
      <w:r>
        <w:t>Import dataset → validate provenance/schema → compute features → baseline/candidate scoring → replay → metrics/reason codes.</w:t>
      </w:r>
    </w:p>
    <w:p>
      <w:pPr>
        <w:pStyle w:val="ListNumber"/>
      </w:pPr>
      <w:r>
        <w:t>Compare shadow score to incumbent result → record discrepancy for review without changing live outcome.</w:t>
      </w:r>
    </w:p>
    <w:p>
      <w:pPr>
        <w:pStyle w:val="ListNumber"/>
      </w:pPr>
      <w:r>
        <w:t>Drift alert → provide evidence for human review; no unapproved automatic policy change.</w:t>
      </w:r>
    </w:p>
    <w:p>
      <w:pPr>
        <w:pStyle w:val="Heading2"/>
      </w:pPr>
      <w:r>
        <w:t>A7. Product success measures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Definition and measurement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Task success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Share of benchmark tasks meeting explicit acceptance criteria; version the test set.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Quality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Domain-specific correctness, relevance and uncertainty; compare to a named baseline.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Reliability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Error rate, recovery, cancellation and partial-completion behavior under fault tests.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Latency percentiles, throughput, resource use and cost on named hardware/workloads.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Safety/security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Unauthorized actions, isolation failures and unsafe transitions from adversarial tests.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Usability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User task completion, clarity, accessibility and feedback from a defined pilot.</w:t>
            </w:r>
          </w:p>
        </w:tc>
      </w:tr>
    </w:tbl>
    <w:p/>
    <w:p>
      <w:pPr>
        <w:pStyle w:val="Heading2"/>
      </w:pPr>
      <w:r>
        <w:t>A8. Assumptions to validate</w:t>
      </w:r>
    </w:p>
    <w:p>
      <w:pPr>
        <w:pStyle w:val="ListBullet"/>
      </w:pPr>
      <w:r>
        <w:t>The first release is a prototype/research product unless the owner approves production scope.</w:t>
      </w:r>
    </w:p>
    <w:p>
      <w:pPr>
        <w:pStyle w:val="ListBullet"/>
      </w:pPr>
      <w:r>
        <w:t>Existing implementation, supported hardware and dependencies must be audited before committing estimates.</w:t>
      </w:r>
    </w:p>
    <w:p>
      <w:pPr>
        <w:pStyle w:val="ListBullet"/>
      </w:pPr>
      <w:r>
        <w:t>Data rights, retention, jurisdiction and domain-specific requirements must be confirmed.</w:t>
      </w:r>
    </w:p>
    <w:p>
      <w:pPr>
        <w:pStyle w:val="ListBullet"/>
      </w:pPr>
      <w:r>
        <w:t>A product owner and appropriate domain/security reviewers must approve the baseline.</w:t>
      </w:r>
    </w:p>
    <w:p>
      <w:r>
        <w:br w:type="page"/>
      </w:r>
    </w:p>
    <w:p>
      <w:pPr>
        <w:pStyle w:val="Heading1"/>
      </w:pPr>
      <w:r>
        <w:t>PART B — SOFTWARE REQUIREMENTS SPECIFICATION (SRS)</w:t>
      </w:r>
    </w:p>
    <w:p>
      <w:pPr>
        <w:pStyle w:val="Heading2"/>
      </w:pPr>
      <w:r>
        <w:t>B1. System context</w:t>
      </w:r>
    </w:p>
    <w:p>
      <w:r>
        <w:t>Offline analytics/replay pipeline with durable auditable records, deterministic feature processing, baseline and candidate scoring, evaluation reports and no direct live authorization/decline path in MVP.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Boundary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UI / CLI / API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Collect inputs; display status, approvals, results and errors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UI is not a security boundary.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Workflow runtime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Task state, steps, budgets, retries and completion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Model may propose; runtime validates.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Model/research logic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Generate analysis, predictions or proposals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Cannot grant its own permissions.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Deterministic services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Validation, persistence, authorization, safety and source-of-record operations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Must be testable without an LLM.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Persistence/observability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State, provenance, audit, artifacts and metrics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Retention, access and deletion are explicit.</w:t>
            </w:r>
          </w:p>
        </w:tc>
      </w:tr>
    </w:tbl>
    <w:p/>
    <w:p>
      <w:pPr>
        <w:pStyle w:val="Heading2"/>
      </w:pPr>
      <w:r>
        <w:t>B2.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FR-FIN-001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The system SHALL accept only approved historical or synthetic datasets with provenance, purpose and retention metadata.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FR-FIN-002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Ingestion SHALL validate required fields, timestamps, duplicates, units/currency and missing-value policy.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FR-FIN-003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Feature transformations SHALL be versioned and deterministic.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FR-FIN-004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Evaluation SHALL include a rules/statistical baseline before candidate scoring is promoted.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FR-FIN-005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Each score SHALL identify model/version, score meaning, available reason codes and limitations.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FR-FIN-006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Replay SHALL be reproducible with event-time order, load settings and explicit latency boundaries.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FR-FIN-007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Reports SHALL include appropriate precision/recall, calibration and false-positive/negative trade-offs.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FR-FIN-008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Evaluation splits SHALL be time-aware and include leakage checks.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FR-FIN-009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Drift monitoring SHALL alert for review rather than silently adapt production decisions.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FR-FIN-010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MVP shadow mode SHALL not authorize, decline or move real money.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FR-FIN-011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Audit records SHALL identify dataset/model/config versions, score, reason and review owner.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FR-FIN-012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Any later production integration SHALL require a tested kill switch, rollback and independent approval.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FR-FIN-013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Sensitive transaction fields SHALL be access-controlled and redacted from logs.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FR-FIN-014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Latency reports SHALL separate component and end-to-end latency under representative load.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FR-FIN-015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Live decision integration SHALL be blocked until risk, security, compliance and operations approval.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</w:tbl>
    <w:p/>
    <w:p>
      <w:pPr>
        <w:pStyle w:val="Heading2"/>
      </w:pPr>
      <w:r>
        <w:t>B3.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Quality attribute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NFR-FIN-001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Auditability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Replay and score must be reproducible from versioned inputs/configuration.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NFR-FIN-002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Integrity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Records have stable IDs and validation; audit is protected from casual alteration.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NFR-FIN-003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Report p50/p95/p99 and load; no unmeasured microsecond end-to-end claims.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NFR-FIN-004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Safety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MVP has no direct live transaction authority.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NFR-FIN-005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Privacy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Minimize sensitive data, enforce access and retention.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NFR-FIN-006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Quality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Measure calibration, drift and appropriate subgroup performance.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NFR-FIN-007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Recovery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Replay resumes without double-counting events.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</w:tbl>
    <w:p/>
    <w:p>
      <w:pPr>
        <w:pStyle w:val="Heading2"/>
      </w:pPr>
      <w:r>
        <w:t>B4. External interfaces</w:t>
      </w:r>
    </w:p>
    <w:p>
      <w:pPr>
        <w:pStyle w:val="ListBullet"/>
      </w:pPr>
      <w:r>
        <w:t>Approved data source</w:t>
      </w:r>
    </w:p>
    <w:p>
      <w:pPr>
        <w:pStyle w:val="ListBullet"/>
      </w:pPr>
      <w:r>
        <w:t>Feature pipeline</w:t>
      </w:r>
    </w:p>
    <w:p>
      <w:pPr>
        <w:pStyle w:val="ListBullet"/>
      </w:pPr>
      <w:r>
        <w:t>Scoring models</w:t>
      </w:r>
    </w:p>
    <w:p>
      <w:pPr>
        <w:pStyle w:val="ListBullet"/>
      </w:pPr>
      <w:r>
        <w:t>Replay harness</w:t>
      </w:r>
    </w:p>
    <w:p>
      <w:pPr>
        <w:pStyle w:val="ListBullet"/>
      </w:pPr>
      <w:r>
        <w:t>Audit/report store</w:t>
      </w:r>
    </w:p>
    <w:p>
      <w:pPr>
        <w:pStyle w:val="ListBullet"/>
      </w:pPr>
      <w:r>
        <w:t>Incumbent risk system in shadow mode only</w:t>
      </w:r>
    </w:p>
    <w:p>
      <w:pPr>
        <w:pStyle w:val="Heading2"/>
      </w:pPr>
      <w:r>
        <w:t>B5. Data requirements</w:t>
      </w:r>
    </w:p>
    <w:p>
      <w:pPr>
        <w:pStyle w:val="ListBullet"/>
      </w:pPr>
      <w:r>
        <w:t>Historical/synthetic transactions</w:t>
      </w:r>
    </w:p>
    <w:p>
      <w:pPr>
        <w:pStyle w:val="ListBullet"/>
      </w:pPr>
      <w:r>
        <w:t>Feature definitions</w:t>
      </w:r>
    </w:p>
    <w:p>
      <w:pPr>
        <w:pStyle w:val="ListBullet"/>
      </w:pPr>
      <w:r>
        <w:t>Model/threshold versions</w:t>
      </w:r>
    </w:p>
    <w:p>
      <w:pPr>
        <w:pStyle w:val="ListBullet"/>
      </w:pPr>
      <w:r>
        <w:t>Scores/reason codes</w:t>
      </w:r>
    </w:p>
    <w:p>
      <w:pPr>
        <w:pStyle w:val="ListBullet"/>
      </w:pPr>
      <w:r>
        <w:t>Replay traces</w:t>
      </w:r>
    </w:p>
    <w:p>
      <w:pPr>
        <w:pStyle w:val="ListBullet"/>
      </w:pPr>
      <w:r>
        <w:t>Evaluation/drift reports</w:t>
      </w:r>
    </w:p>
    <w:p>
      <w:pPr>
        <w:pStyle w:val="ListBullet"/>
      </w:pPr>
      <w:r>
        <w:t>Persistent entities require stable IDs and schema/version metadata where applicable.</w:t>
      </w:r>
    </w:p>
    <w:p>
      <w:pPr>
        <w:pStyle w:val="ListBullet"/>
      </w:pPr>
      <w:r>
        <w:t>Imported data and generated artifacts must retain provenance; generated text is not automatically a verified source.</w:t>
      </w:r>
    </w:p>
    <w:p>
      <w:pPr>
        <w:pStyle w:val="ListBullet"/>
      </w:pPr>
      <w:r>
        <w:t>Define retention, export, backup, restore and deletion behavior before production use.</w:t>
      </w:r>
    </w:p>
    <w:p>
      <w:pPr>
        <w:pStyle w:val="ListBullet"/>
      </w:pPr>
      <w:r>
        <w:t>Sensitive data must not enter source control, unredacted telemetry or training data without approved rights and purpose.</w:t>
      </w:r>
    </w:p>
    <w:p>
      <w:pPr>
        <w:pStyle w:val="Heading2"/>
      </w:pPr>
      <w:r>
        <w:t>B6. Error and recovery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Required behavior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Invalid input/schema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Reject with stable error and field-level explanation; no partial protected action.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Model/provider timeout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Bound retries; record timeout; never claim completion.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Tool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Capture status/output safely; preserve task state; retry only when safe/idempotent.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Permission denied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 not execute; record reason; return safe explanation.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Cancellation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Stop new work and cancel pending operations where possible; report already completed actions.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Persistence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 not claim durable completion until commit succeeds.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Stale/corrupt source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Mark unavailable/stale and recover from canonical source where safe.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Budget exceeded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Stop at defined boundary and return partial progress and remaining risks.</w:t>
            </w:r>
          </w:p>
        </w:tc>
      </w:tr>
    </w:tbl>
    <w:p/>
    <w:p>
      <w:pPr>
        <w:pStyle w:val="Heading2"/>
      </w:pPr>
      <w:r>
        <w:t>B7. Security, privacy and safety</w:t>
      </w:r>
    </w:p>
    <w:p>
      <w:pPr>
        <w:pStyle w:val="ListBullet"/>
      </w:pPr>
      <w:r>
        <w:t>Apply least privilege and scope identity by user, tenant, task, tool and resource.</w:t>
      </w:r>
    </w:p>
    <w:p>
      <w:pPr>
        <w:pStyle w:val="ListBullet"/>
      </w:pPr>
      <w:r>
        <w:t>Treat external documents, code, web pages, telemetry and tool outputs as untrusted data, not policy instructions.</w:t>
      </w:r>
    </w:p>
    <w:p>
      <w:pPr>
        <w:pStyle w:val="ListBullet"/>
      </w:pPr>
      <w:r>
        <w:t>Bind approvals to exact high-impact actions and enforce policy in the executor, not only in the model or UI.</w:t>
      </w:r>
    </w:p>
    <w:p>
      <w:pPr>
        <w:pStyle w:val="ListBullet"/>
      </w:pPr>
      <w:r>
        <w:t>Isolate untrusted execution; enforce time, CPU, memory, process and network limits outside the model.</w:t>
      </w:r>
    </w:p>
    <w:p>
      <w:pPr>
        <w:pStyle w:val="ListBullet"/>
      </w:pPr>
      <w:r>
        <w:t>Maintain threat/risk registers and adversarial tests; keep AI advice separate from authoritative state transitions.</w:t>
      </w:r>
    </w:p>
    <w:p>
      <w:pPr>
        <w:pStyle w:val="Heading2"/>
      </w:pPr>
      <w:r>
        <w:t>B8. Verification and 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Test level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Coverage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Release rule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Unit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Pure logic, schemas, transforms and state transitions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in CI.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Contract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Model/tool/event/API schema compatibility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shared interfaces.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Integration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Persistence, providers, sandbox, permissions and adapters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changed components.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End-to-end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Primary user journeys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MVP.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Security/adversarial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Injection, leakage, authorization bypass, resource exhaustion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before pilot.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Named hardware/workload, p50/p95/p99 and resource limits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before quantitative claims.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Domain validation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Independent review for finance, OS, robotics, health or space as applicable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before high-impact deployment.</w:t>
            </w:r>
          </w:p>
        </w:tc>
      </w:tr>
    </w:tbl>
    <w:p/>
    <w:p>
      <w:pPr>
        <w:pStyle w:val="Heading2"/>
      </w:pPr>
      <w:r>
        <w:t>B9. Acceptance criteria</w:t>
      </w:r>
    </w:p>
    <w:p>
      <w:pPr>
        <w:pStyle w:val="ListBullet"/>
      </w:pPr>
      <w:r>
        <w:t>Pinned replay is reproducible</w:t>
      </w:r>
    </w:p>
    <w:p>
      <w:pPr>
        <w:pStyle w:val="ListBullet"/>
      </w:pPr>
      <w:r>
        <w:t>Temporal leakage tests pass</w:t>
      </w:r>
    </w:p>
    <w:p>
      <w:pPr>
        <w:pStyle w:val="ListBullet"/>
      </w:pPr>
      <w:r>
        <w:t>Reports show baseline and error trade-offs</w:t>
      </w:r>
    </w:p>
    <w:p>
      <w:pPr>
        <w:pStyle w:val="ListBullet"/>
      </w:pPr>
      <w:r>
        <w:t>Shadow mode cannot mutate live outcomes</w:t>
      </w:r>
    </w:p>
    <w:p>
      <w:pPr>
        <w:pStyle w:val="ListBullet"/>
      </w:pPr>
      <w:r>
        <w:t>Kill switch/rollback tested before later production integration</w:t>
      </w:r>
    </w:p>
    <w:p>
      <w:pPr>
        <w:pStyle w:val="Heading2"/>
      </w:pPr>
      <w:r>
        <w:t>B10. Risks and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Required mitigation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False declines/missed fraud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Leakage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Poor calibration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Regulatory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Misleading latency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Feedback loops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</w:tbl>
    <w:p/>
    <w:p>
      <w:pPr>
        <w:pStyle w:val="Heading2"/>
      </w:pPr>
      <w:r>
        <w:t>B11. Traceability and release control</w:t>
      </w:r>
    </w:p>
    <w:p>
      <w:r>
        <w:t>Every PRD goal SHALL map to SRS IDs; each requirement SHALL map to a test or justified inspection/analysis. Each release candidate SHALL record requirement coverage, test evidence, open defects, known limitations, dependency/model versions and approvals.</w:t>
      </w:r>
    </w:p>
    <w:p>
      <w:pPr>
        <w:pStyle w:val="Heading2"/>
      </w:pPr>
      <w:r>
        <w:t>B12. Open decisions</w:t>
      </w:r>
    </w:p>
    <w:p>
      <w:pPr>
        <w:pStyle w:val="ListBullet"/>
      </w:pPr>
      <w:r>
        <w:t>Confirm product owner, users, deployment profile and release scope.</w:t>
      </w:r>
    </w:p>
    <w:p>
      <w:pPr>
        <w:pStyle w:val="ListBullet"/>
      </w:pPr>
      <w:r>
        <w:t>Confirm supported OS/hardware, data sources and integrations.</w:t>
      </w:r>
    </w:p>
    <w:p>
      <w:pPr>
        <w:pStyle w:val="ListBullet"/>
      </w:pPr>
      <w:r>
        <w:t>Set numeric performance thresholds only after baseline profiling.</w:t>
      </w:r>
    </w:p>
    <w:p>
      <w:pPr>
        <w:pStyle w:val="ListBullet"/>
      </w:pPr>
      <w:r>
        <w:t>Confirm data classification, retention, legal/regulatory requirements and reviewers.</w:t>
      </w:r>
    </w:p>
    <w:p>
      <w:pPr>
        <w:pStyle w:val="Heading1"/>
      </w:pPr>
      <w:r>
        <w:t>Technical Architecture &amp; Mathematical Formulations</w:t>
      </w:r>
    </w:p>
    <w:p>
      <w:r>
        <w:t>### Technical Architecture &amp; Mathematical Foundations: CORTEX-Fin</w:t>
      </w:r>
    </w:p>
    <w:p>
      <w:r>
        <w:t>- **Lyapunov Energy Gradient Attribution**: Transaction risk scoring calculates continuous attractor energy $E(x)$, decomposing the gradient $\nabla_x E(x)$ into explicit interpretable factor attributions satisfying FCRA and GDPR Article 22.</w:t>
      </w:r>
    </w:p>
    <w:p>
      <w:r>
        <w:t>- **High-Throughput Columnar Streaming**: Processes transaction tap streams via Apache Arrow columnar memory buffers sustaining $&gt; 100,000\text{ tx/sec}$ with scoring latency $\le 150\ \mu\text{s}$.</w:t>
      </w:r>
    </w:p>
    <w:p>
      <w:r>
        <w:t>- **Strict Shadow-Mode Isolation**: Non-authoritative read-only pipe with zero write credentials to live payment rails or bank settlement ledgers.</w:t>
      </w:r>
    </w:p>
    <w:p>
      <w:pPr>
        <w:pStyle w:val="Heading1"/>
      </w:pPr>
      <w:r>
        <w:t>Implemented Codebase Traceability</w:t>
      </w:r>
    </w:p>
    <w:p>
      <w:r>
        <w:t>### Implemented Codebase Traceability</w:t>
      </w:r>
    </w:p>
    <w:p>
      <w:r>
        <w:t>- **Anomaly Scorer**: `platforms/fin/src/anomaly_scorer.py` (`FinancialAnomalyScorer`, `FraudScoringReport`)</w:t>
      </w:r>
    </w:p>
    <w:p>
      <w:r>
        <w:t>- **Feature Encoder**: `platforms/fin/src/transaction_encoder.py` (`FinancialTransaction`, `TransactionFeatureEncoder`)</w:t>
      </w:r>
    </w:p>
    <w:p>
      <w:r>
        <w:t>- **Event Replay Engine**: `platforms/fin/src/event_replay.py` (`HighThroughputReplayEngine`)</w:t>
      </w:r>
    </w:p>
    <w:p>
      <w:r>
        <w:t>- **Gateway Dispatcher**: `execute_fin(action, params)` in `src/cortex_m/gateway.py`</w:t>
      </w:r>
    </w:p>
    <w:p>
      <w:pPr>
        <w:pStyle w:val="Heading1"/>
      </w:pPr>
      <w:r>
        <w:t>Technical Architecture &amp; Mathematical Formulations</w:t>
      </w:r>
    </w:p>
    <w:p>
      <w:r>
        <w:t>### Technical Architecture &amp; Mathematical Foundations: CORTEX-Fin</w:t>
      </w:r>
    </w:p>
    <w:p>
      <w:r>
        <w:t>- **Lyapunov Energy Gradient Attribution**: Transaction risk scoring calculates continuous attractor energy $E(x) = -\frac{1}{2} x^T W x$, projecting the exact gradient $\nabla_x E(x) = -W x$ back into raw transaction feature space to generate FCRA and GDPR Article 22 compliant adverse action codes (`ADV_01_TRANSACTION_AMOUNT_SPIKE`, `ADV_02_GEOGRAPHIC_DISPLACEMENT`, etc.).</w:t>
      </w:r>
    </w:p>
    <w:p>
      <w:r>
        <w:t>- **Kinematic Leap Velocity Anomaly Detection**: Tracks consecutive transactions per account to identify physically impossible transit leaps:</w:t>
      </w:r>
    </w:p>
    <w:p>
      <w:r>
        <w:t>$$v_{\text{apparent}} = \frac{\Delta d}{\Delta t} &gt; 900\text{ km/h}$$</w:t>
      </w:r>
    </w:p>
    <w:p>
      <w:r>
        <w:t>violating commercial supersonic flight envelopes.</w:t>
      </w:r>
    </w:p>
    <w:p>
      <w:r>
        <w:t>- **High-Throughput Stream Replay**: Benchmarks transaction pipelines sustaining $&gt; 100,000\text{ tx/sec}$ with scoring latency $\le 150\ \mu\text{s}$.</w:t>
      </w:r>
    </w:p>
    <w:p>
      <w:r>
        <w:t>- **Strict Shadow-Mode Isolation**: Non-authoritative read-only pipe with zero write credentials to live payment rails or bank settlement ledgers.</w:t>
      </w:r>
    </w:p>
    <w:p>
      <w:pPr>
        <w:pStyle w:val="Heading1"/>
      </w:pPr>
      <w:r>
        <w:t>Implemented Codebase Traceability</w:t>
      </w:r>
    </w:p>
    <w:p>
      <w:r>
        <w:t>### Implemented Codebase Traceability</w:t>
      </w:r>
    </w:p>
    <w:p>
      <w:r>
        <w:t>- **Anomaly Scorer**: `platforms/fin/src/anomaly_scorer.py` (`FinancialAnomalyScorer`, `FraudScoringReport`)</w:t>
      </w:r>
    </w:p>
    <w:p>
      <w:r>
        <w:t>- **Feature Encoder**: `platforms/fin/src/transaction_encoder.py` (`FinancialTransaction`, `TransactionFeatureEncoder`)</w:t>
      </w:r>
    </w:p>
    <w:p>
      <w:r>
        <w:t>- **Event Replay Engine**: `platforms/fin/src/event_replay.py` (`HighThroughputReplayEngine`, `ReplayBatchResult`)</w:t>
      </w:r>
    </w:p>
    <w:p>
      <w:r>
        <w:t>- **Gateway Dispatcher**: `execute_fin(action, params)` in `src/cortex_m/gateway.py`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CORTEX-Fin | PRD + SRS | Draft v0.9 | 26 Oct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3232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222D2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7533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8C5B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222D2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