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CORTEX-Health / BCI Research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Non-clinical neural-signal research, offline analysis and BCI experimentation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remain targets until reproduced on named hardware/workloads.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defines user needs, outcomes, scope and success measures. SRS defines testable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Support offline signal analysis with data protection, rigorous evaluation and a clear boundary from diagnosis, treatment or actuation.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Neuroscience researchers</w:t>
      </w:r>
    </w:p>
    <w:p>
      <w:pPr>
        <w:pStyle w:val="ListBullet"/>
      </w:pPr>
      <w:r>
        <w:t>Signal-processing engineers</w:t>
      </w:r>
    </w:p>
    <w:p>
      <w:pPr>
        <w:pStyle w:val="ListBullet"/>
      </w:pPr>
      <w:r>
        <w:t>Clinical/device research teams</w:t>
      </w:r>
    </w:p>
    <w:p>
      <w:pPr>
        <w:pStyle w:val="ListBullet"/>
      </w:pPr>
      <w:r>
        <w:t>Data governance reviewers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Noisy participant-specific signals</w:t>
      </w:r>
    </w:p>
    <w:p>
      <w:pPr>
        <w:pStyle w:val="ListBullet"/>
      </w:pPr>
      <w:r>
        <w:t>Data leakage inflates results</w:t>
      </w:r>
    </w:p>
    <w:p>
      <w:pPr>
        <w:pStyle w:val="ListBullet"/>
      </w:pPr>
      <w:r>
        <w:t>Models drift across sessions/devices</w:t>
      </w:r>
    </w:p>
    <w:p>
      <w:pPr>
        <w:pStyle w:val="ListBullet"/>
      </w:pPr>
      <w:r>
        <w:t>Clinical use requires governance and validation</w:t>
      </w:r>
    </w:p>
    <w:p>
      <w:pPr>
        <w:pStyle w:val="Heading2"/>
      </w:pPr>
      <w:r>
        <w:t>A4. MVP scope</w:t>
      </w:r>
    </w:p>
    <w:p>
      <w:pPr>
        <w:pStyle w:val="ListBullet"/>
      </w:pPr>
      <w:r>
        <w:t>Approved offline datasets</w:t>
      </w:r>
    </w:p>
    <w:p>
      <w:pPr>
        <w:pStyle w:val="ListBullet"/>
      </w:pPr>
      <w:r>
        <w:t>Signal preprocessing</w:t>
      </w:r>
    </w:p>
    <w:p>
      <w:pPr>
        <w:pStyle w:val="ListBullet"/>
      </w:pPr>
      <w:r>
        <w:t>Baseline pipeline</w:t>
      </w:r>
    </w:p>
    <w:p>
      <w:pPr>
        <w:pStyle w:val="ListBullet"/>
      </w:pPr>
      <w:r>
        <w:t>Participant/session-aware splits</w:t>
      </w:r>
    </w:p>
    <w:p>
      <w:pPr>
        <w:pStyle w:val="ListBullet"/>
      </w:pPr>
      <w:r>
        <w:t>Artifact/drift analysis</w:t>
      </w:r>
    </w:p>
    <w:p>
      <w:pPr>
        <w:pStyle w:val="ListBullet"/>
      </w:pPr>
      <w:r>
        <w:t>Research-only reports</w:t>
      </w:r>
    </w:p>
    <w:p>
      <w:pPr>
        <w:pStyle w:val="ListBullet"/>
      </w:pPr>
      <w:r>
        <w:t>Access/deletion controls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R1/MVP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capabilities and one complete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works; correctness/security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Usability, reporting, integrations and wider evaluations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 without critical regressions.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R3/controlled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external systems or hardware only where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evidence required.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Approved dataset selected → access/purpose checks → versioned preprocessing → held-out evaluation → report with uncertainty/limitations.</w:t>
      </w:r>
    </w:p>
    <w:p>
      <w:pPr>
        <w:pStyle w:val="ListNumber"/>
      </w:pPr>
      <w:r>
        <w:t>Input quality insufficient → explicit insufficient-evidence result.</w:t>
      </w:r>
    </w:p>
    <w:p>
      <w:pPr>
        <w:pStyle w:val="ListNumber"/>
      </w:pPr>
      <w:r>
        <w:t>Clinical/device integration requested → blocked pending qualified governance, hazard controls and required approvals.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Versioned tasks meeting acceptance criteria.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 correctness/utility compared with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Error, recovery, cancellation and partial-completion behavior.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 and resource use on named workload.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leakage and unsafe transitions.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completion, clarity, accessibility and pilot feedback.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Prototype/research scope applies until production use is explicitly approved.</w:t>
      </w:r>
    </w:p>
    <w:p>
      <w:pPr>
        <w:pStyle w:val="ListBullet"/>
      </w:pPr>
      <w:r>
        <w:t>Audit current implementation and hardware before setting delivery or performance promises.</w:t>
      </w:r>
    </w:p>
    <w:p>
      <w:pPr>
        <w:pStyle w:val="ListBullet"/>
      </w:pPr>
      <w:r>
        <w:t>Confirm data rights, retention, jurisdiction and domain requirements.</w:t>
      </w:r>
    </w:p>
    <w:p>
      <w:pPr>
        <w:pStyle w:val="ListBullet"/>
      </w:pPr>
      <w:r>
        <w:t>Obtain approval from product owner and relevant domain/security reviewers.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Offline research pipeline with controlled data access, versioned preprocessing, participant/session-aware evaluation and no clinical/stimulation/actuator pathway in the research release.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UI/CLI/API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Input,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proposes;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authorize its own actions.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 model.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Retention/access/deletion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 data source, authorization/consent basis, purpose, protocol, device metadata and retention.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Keep participant data out of source control and general logs; enforce role/purpose access.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Validate sample rate, channels, units, timestamps, missing channels and file format.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Version filtering, artifact handling, normalization and segmentation operations.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Provide reproducible signal-processing/statistical baselines before advanced learned models.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 participant/session-aware held-out evaluation where applicable and document leakage controls.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 channel loss, artifacts, drift, noise, device changes and calibration.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Label outputs research-only and display uncertainty/unsupported-use warnings.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Return insufficient-evidence when input quality or documented confidence criteria fail.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Apply retention/deletion to source data, derived features, indexes and caches.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 code, dataset version, split, configuration, seed, model and report.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FR-HLT-012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 implant, stimulation, diagnosis or actuator connection without qualified governance and required approvals.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Privacy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Sensitive data is minimized, access-controlled and excluded from ordinary telemetry.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Validity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 appropriate held-out participants/sessions and report uncertainty/limitations.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 clinical diagnosis/treatment claim or direct stimulation/actuation in research release.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Traceability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Results trace to authorization, source, preprocessing and model/config.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Integrity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Dataset/preprocessing changes are versioned and detectable.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NFR-HLT-006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Regulatory readiness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Clinical use requires jurisdiction-specific review, quality process, qualified partners and independent validation.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Approved datasets</w:t>
      </w:r>
    </w:p>
    <w:p>
      <w:pPr>
        <w:pStyle w:val="ListBullet"/>
      </w:pPr>
      <w:r>
        <w:t>Signal acquisition formats</w:t>
      </w:r>
    </w:p>
    <w:p>
      <w:pPr>
        <w:pStyle w:val="ListBullet"/>
      </w:pPr>
      <w:r>
        <w:t>Preprocessing pipeline</w:t>
      </w:r>
    </w:p>
    <w:p>
      <w:pPr>
        <w:pStyle w:val="ListBullet"/>
      </w:pPr>
      <w:r>
        <w:t>Offline model gateway</w:t>
      </w:r>
    </w:p>
    <w:p>
      <w:pPr>
        <w:pStyle w:val="ListBullet"/>
      </w:pPr>
      <w:r>
        <w:t>Evaluation/reporting</w:t>
      </w:r>
    </w:p>
    <w:p>
      <w:pPr>
        <w:pStyle w:val="ListBullet"/>
      </w:pPr>
      <w:r>
        <w:t>Protected storage/access control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Raw/derived signals</w:t>
      </w:r>
    </w:p>
    <w:p>
      <w:pPr>
        <w:pStyle w:val="ListBullet"/>
      </w:pPr>
      <w:r>
        <w:t>Participant/session metadata</w:t>
      </w:r>
    </w:p>
    <w:p>
      <w:pPr>
        <w:pStyle w:val="ListBullet"/>
      </w:pPr>
      <w:r>
        <w:t>Consent/purpose metadata</w:t>
      </w:r>
    </w:p>
    <w:p>
      <w:pPr>
        <w:pStyle w:val="ListBullet"/>
      </w:pPr>
      <w:r>
        <w:t>Preprocessing configs</w:t>
      </w:r>
    </w:p>
    <w:p>
      <w:pPr>
        <w:pStyle w:val="ListBullet"/>
      </w:pPr>
      <w:r>
        <w:t>Predictions/uncertainty</w:t>
      </w:r>
    </w:p>
    <w:p>
      <w:pPr>
        <w:pStyle w:val="ListBullet"/>
      </w:pPr>
      <w:r>
        <w:t>Evaluation reports</w:t>
      </w:r>
    </w:p>
    <w:p>
      <w:pPr>
        <w:pStyle w:val="ListBullet"/>
      </w:pPr>
      <w:r>
        <w:t>Retention/deletion records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Record provenance for imported data and generated artifacts.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Keep sensitive data out of source control, unredacted telemetry and training datasets without approved rights and purpose.</w:t>
      </w:r>
    </w:p>
    <w:p>
      <w:pPr>
        <w:pStyle w:val="Heading2"/>
      </w:pPr>
      <w:r>
        <w:t>B6. Error and recovery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error; do not partially execute protected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 and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 safely;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report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before commit.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data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and return partial progress and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Use least privilege and scope identity by user, tenant, task, tool and resource.</w:t>
      </w:r>
    </w:p>
    <w:p>
      <w:pPr>
        <w:pStyle w:val="ListBullet"/>
      </w:pPr>
      <w:r>
        <w:t>Treat external documents, telemetry and tool outputs as untrusted data, not policy instructions.</w:t>
      </w:r>
    </w:p>
    <w:p>
      <w:pPr>
        <w:pStyle w:val="ListBullet"/>
      </w:pPr>
      <w:r>
        <w:t>Bind approvals to exact high-impact actions and enforce in executors.</w:t>
      </w:r>
    </w:p>
    <w:p>
      <w:pPr>
        <w:pStyle w:val="ListBullet"/>
      </w:pPr>
      <w:r>
        <w:t>Isolate untrusted execution and enforce resource limits outside the model.</w:t>
      </w:r>
    </w:p>
    <w:p>
      <w:pPr>
        <w:pStyle w:val="ListBullet"/>
      </w:pPr>
      <w:r>
        <w:t>Keep advisory AI output separate from authoritative state transitions; maintain threat/risk reviews.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Logic, schemas, transforms,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API/event/tool/model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 and permissions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 and percentiles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quantitative claims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domain review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high-impact deployment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Dataset access and provenance recorded</w:t>
      </w:r>
    </w:p>
    <w:p>
      <w:pPr>
        <w:pStyle w:val="ListBullet"/>
      </w:pPr>
      <w:r>
        <w:t>Held-out split documented/reproducible</w:t>
      </w:r>
    </w:p>
    <w:p>
      <w:pPr>
        <w:pStyle w:val="ListBullet"/>
      </w:pPr>
      <w:r>
        <w:t>Outputs labeled research-only</w:t>
      </w:r>
    </w:p>
    <w:p>
      <w:pPr>
        <w:pStyle w:val="ListBullet"/>
      </w:pPr>
      <w:r>
        <w:t>Deletion/retention tested</w:t>
      </w:r>
    </w:p>
    <w:p>
      <w:pPr>
        <w:pStyle w:val="ListBullet"/>
      </w:pPr>
      <w:r>
        <w:t>Research build has no clinical/actuator pathway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Privacy breach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Train/test leakage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Clinical misuse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Data drift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Unapproved actuator connection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coverage, evidence, open defects, limitations,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owner, users, deployment profile and release scope.</w:t>
      </w:r>
    </w:p>
    <w:p>
      <w:pPr>
        <w:pStyle w:val="ListBullet"/>
      </w:pPr>
      <w:r>
        <w:t>Confirm supported hardware, data sources and integrations.</w:t>
      </w:r>
    </w:p>
    <w:p>
      <w:pPr>
        <w:pStyle w:val="ListBullet"/>
      </w:pPr>
      <w:r>
        <w:t>Set performance thresholds after baseline profiling.</w:t>
      </w:r>
    </w:p>
    <w:p>
      <w:pPr>
        <w:pStyle w:val="ListBullet"/>
      </w:pPr>
      <w:r>
        <w:t>Confirm data classification, retention, 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CORTEX-Health / BCI</w:t>
      </w:r>
    </w:p>
    <w:p>
      <w:r>
        <w:t>- **Deterministic Biosignal Conditioning**: 4th-order Butterworth bandpass (0.5–100.0 Hz) and 50/60 Hz notch filtering with FastICA ocular artifact suppression.</w:t>
      </w:r>
    </w:p>
    <w:p>
      <w:r>
        <w:t>- **Morlet Continuous Wavelet Decomposition**: Time-frequency spectral analysis computing instantaneous power across Delta (0.5–4 Hz), Theta (4–8 Hz), Alpha (8–13 Hz), Beta (13–30 Hz), and Gamma (30–50 Hz) bands.</w:t>
      </w:r>
    </w:p>
    <w:p>
      <w:r>
        <w:t>- **State-Space Attractor Decoding**: Continuous Hopfield cognitive state classification (Resting, Focused, Cognitive Workload, Drowsy) with strict non-clinical disclaimers.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**Biosignal Filter**: `platforms/health/src/signal_filter.py` (`BiosignalFilter`, `FilteredSignal`)</w:t>
      </w:r>
    </w:p>
    <w:p>
      <w:r>
        <w:t>- **Wavelet Decomposer**: `platforms/health/src/wavelet_analysis.py` (`WaveletFrequencyDecomposer`, `NeuralBandpower`)</w:t>
      </w:r>
    </w:p>
    <w:p>
      <w:r>
        <w:t>- **BCI Decoder**: `platforms/health/src/bci_decoder.py` (`ContinuousBCIDecoder`, `BCIDecodingResult`)</w:t>
      </w:r>
    </w:p>
    <w:p>
      <w:r>
        <w:t>- **Gateway Dispatcher**: `execute_health(action,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CORTEX-Health / BCI</w:t>
      </w:r>
    </w:p>
    <w:p>
      <w:r>
        <w:t>- **Deterministic Biosignal Conditioning**: DC offset detrending, IIR 50/60 Hz notch filtering, and artifact clipping ($\pm 500\ \mu\text{V}$).</w:t>
      </w:r>
    </w:p>
    <w:p>
      <w:r>
        <w:t>- **Spectral Signal-to-Noise Ratio (SNR) &amp; Lead Impedance**: Evaluates empirical SNR in dB and audits electrode contact integrity, flagging flatline disconnections (variance $&lt; 10^{-4}$) and saturated railed leads.</w:t>
      </w:r>
    </w:p>
    <w:p>
      <w:r>
        <w:t>- **Welch Power Spectral Density**: Smoothed spectral estimation via 50% overlapping Hanning-windowed periodograms:</w:t>
      </w:r>
    </w:p>
    <w:p>
      <w:r>
        <w:t>$$P_{xx}(f) = \frac{1}{K} \sum_{k=1}^K I_k(f)$$</w:t>
      </w:r>
    </w:p>
    <w:p>
      <w:r>
        <w:t>- **Exponential Moving Average (EMA) BCI Stabilization**: Temporal smoothing across continuous sliding prediction windows:</w:t>
      </w:r>
    </w:p>
    <w:p>
      <w:r>
        <w:t>$$P_t = \alpha P_{\text{inst}} + (1 - \alpha) P_{t-1}$$</w:t>
      </w:r>
    </w:p>
    <w:p>
      <w:r>
        <w:t>preventing classification jitter on discrete cognitive states (Rest, Motor Left/Right, Focus, Drowsy).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**Biosignal Filter**: `platforms/health/src/signal_filter.py` (`BiosignalFilter`, `FilteredSignal`)</w:t>
      </w:r>
    </w:p>
    <w:p>
      <w:r>
        <w:t>- **Wavelet Decomposer**: `platforms/health/src/wavelet_analysis.py` (`WaveletFrequencyDecomposer`, `NeuralBandpower`, `FrequencyBand`)</w:t>
      </w:r>
    </w:p>
    <w:p>
      <w:r>
        <w:t>- **BCI Decoder**: `platforms/health/src/bci_decoder.py` (`ContinuousBCIDecoder`, `BCIDecodingResult`, `CognitiveState`)</w:t>
      </w:r>
    </w:p>
    <w:p>
      <w:r>
        <w:t>- **Gateway Dispatcher**: `execute_health(action,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CORTEX-Health / BCI Research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