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CNN Convolution Accelerator for Advanced VLSI</w:t>
      </w:r>
    </w:p>
    <w:p>
      <w:pPr>
        <w:jc w:val="center"/>
      </w:pPr>
      <w:r>
        <w:rPr>
          <w:i/>
        </w:rPr>
        <w:t>Fixed-Point 3x3 CNN Core with Parallel MAC Architecture, RTL Verification, and Hardware Implementation Results</w:t>
      </w:r>
    </w:p>
    <w:p>
      <w:pPr>
        <w:jc w:val="center"/>
      </w:pPr>
      <w:r>
        <w:t>Prepared as an open-ended project in the style of the FIR filter design assignment</w:t>
      </w:r>
    </w:p>
    <w:p/>
    <w:p>
      <w:pPr>
        <w:pStyle w:val="Heading1"/>
      </w:pPr>
      <w:r>
        <w:t>Abstract</w:t>
      </w:r>
    </w:p>
    <w:p>
      <w:r>
        <w:t>This project presents the design and hardware evaluation of a 3x3 CNN convolution accelerator. The accelerator uses signed Q4.4 fixed-point arithmetic, nine parallel multipliers, an accumulator datapath, ReLU, and saturation logic. The goal is to demonstrate VLSI concepts such as quantization, datapath parallelism, pipelining, timing closure, area tradeoff, and power estimation.</w:t>
      </w:r>
    </w:p>
    <w:p>
      <w:pPr>
        <w:pStyle w:val="Heading1"/>
      </w:pPr>
      <w:r>
        <w:t>Project Motivation</w:t>
      </w:r>
    </w:p>
    <w:p>
      <w:r>
        <w:t>The FIR filter project focused on one-dimensional convolution using pipelining and parallel processing. This project extends the same idea to two-dimensional convolution, which is the dominant operation in CNN-based AI workloads. A 3x3 convolution core is a compact but meaningful hardware block because it directly shows the cost of multiply-accumulate operations and the benefit of parallel datapath design.</w:t>
      </w:r>
    </w:p>
    <w:p>
      <w:pPr>
        <w:pStyle w:val="Heading1"/>
      </w:pPr>
      <w:r>
        <w:t>Architecture Overview</w:t>
      </w:r>
    </w:p>
    <w:p>
      <w:r>
        <w:t>The implemented accelerator accepts a 3x3 input activation window and a 3x3 weight kernel. Each cycle, nine signed multiplications are performed in parallel and accumulated to generate one convolution output. A ReLU and saturation stage converts the internal accumulator back to 8-bit Q4.4 output format.</w:t>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architecture_block_diagram.png"/>
                    <pic:cNvPicPr/>
                  </pic:nvPicPr>
                  <pic:blipFill>
                    <a:blip r:embed="rId9"/>
                    <a:stretch>
                      <a:fillRect/>
                    </a:stretch>
                  </pic:blipFill>
                  <pic:spPr>
                    <a:xfrm>
                      <a:off x="0" y="0"/>
                      <a:ext cx="5943600" cy="2971800"/>
                    </a:xfrm>
                    <a:prstGeom prst="rect"/>
                  </pic:spPr>
                </pic:pic>
              </a:graphicData>
            </a:graphic>
          </wp:inline>
        </w:drawing>
      </w:r>
    </w:p>
    <w:p>
      <w:pPr>
        <w:pStyle w:val="Heading1"/>
      </w:pPr>
      <w:r>
        <w:t>Fixed-Point Quantization</w:t>
      </w:r>
    </w:p>
    <w:p>
      <w:r>
        <w:t>Input activations and kernel coefficients are represented using signed Q4.4 format. This gives 1 sign bit, 3 integer magnitude bits, and 4 fractional bits. The accumulator width is increased to 24 bits to avoid overflow during the sum of nine products. After accumulation, the result is shifted right by 4 bits and passed through ReLU and saturation.</w:t>
      </w:r>
    </w:p>
    <w:p>
      <w:pPr>
        <w:pStyle w:val="Heading1"/>
      </w:pPr>
      <w:r>
        <w:t>RTL Design Structure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File</w:t>
            </w:r>
          </w:p>
        </w:tc>
        <w:tc>
          <w:tcPr>
            <w:tcW w:type="dxa" w:w="4968"/>
            <w:shd w:fill="D9EAF7"/>
          </w:tcPr>
          <w:p>
            <w:r>
              <w:t>Purpose</w:t>
            </w:r>
          </w:p>
        </w:tc>
      </w:tr>
      <w:tr>
        <w:tc>
          <w:tcPr>
            <w:tcW w:type="dxa" w:w="4968"/>
          </w:tcPr>
          <w:p>
            <w:r>
              <w:t>mac_unit.v</w:t>
            </w:r>
          </w:p>
        </w:tc>
        <w:tc>
          <w:tcPr>
            <w:tcW w:type="dxa" w:w="4968"/>
          </w:tcPr>
          <w:p>
            <w:r>
              <w:t>Signed fixed-point multiply-accumulate unit</w:t>
            </w:r>
          </w:p>
        </w:tc>
      </w:tr>
      <w:tr>
        <w:tc>
          <w:tcPr>
            <w:tcW w:type="dxa" w:w="4968"/>
          </w:tcPr>
          <w:p>
            <w:r>
              <w:t>relu_quantizer.v</w:t>
            </w:r>
          </w:p>
        </w:tc>
        <w:tc>
          <w:tcPr>
            <w:tcW w:type="dxa" w:w="4968"/>
          </w:tcPr>
          <w:p>
            <w:r>
              <w:t>ReLU, right shift, and output saturation</w:t>
            </w:r>
          </w:p>
        </w:tc>
      </w:tr>
      <w:tr>
        <w:tc>
          <w:tcPr>
            <w:tcW w:type="dxa" w:w="4968"/>
          </w:tcPr>
          <w:p>
            <w:r>
              <w:t>conv3x3_core.v</w:t>
            </w:r>
          </w:p>
        </w:tc>
        <w:tc>
          <w:tcPr>
            <w:tcW w:type="dxa" w:w="4968"/>
          </w:tcPr>
          <w:p>
            <w:r>
              <w:t>Top-level 3x3 convolution datapath</w:t>
            </w:r>
          </w:p>
        </w:tc>
      </w:tr>
      <w:tr>
        <w:tc>
          <w:tcPr>
            <w:tcW w:type="dxa" w:w="4968"/>
          </w:tcPr>
          <w:p>
            <w:r>
              <w:t>conv3x3_stream_top.v</w:t>
            </w:r>
          </w:p>
        </w:tc>
        <w:tc>
          <w:tcPr>
            <w:tcW w:type="dxa" w:w="4968"/>
          </w:tcPr>
          <w:p>
            <w:r>
              <w:t>Packed-window streaming wrapper</w:t>
            </w:r>
          </w:p>
        </w:tc>
      </w:tr>
      <w:tr>
        <w:tc>
          <w:tcPr>
            <w:tcW w:type="dxa" w:w="4968"/>
          </w:tcPr>
          <w:p>
            <w:r>
              <w:t>tb_conv3x3_core.v</w:t>
            </w:r>
          </w:p>
        </w:tc>
        <w:tc>
          <w:tcPr>
            <w:tcW w:type="dxa" w:w="4968"/>
          </w:tcPr>
          <w:p>
            <w:r>
              <w:t>Simulation testbench and VCD generation</w:t>
            </w:r>
          </w:p>
        </w:tc>
      </w:tr>
    </w:tbl>
    <w:p>
      <w:pPr>
        <w:pStyle w:val="Heading1"/>
      </w:pPr>
      <w:r>
        <w:t>Hardware Implementation Results</w:t>
      </w:r>
    </w:p>
    <w:p>
      <w:r>
        <w:t>The following synthesis-style results are included in the project folder. They are realistic educational estimates based on the supplied RTL architecture and clearly state the assumed ASIC/FPGA targets.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tcPr>
          <w:p>
            <w:r>
              <w:t>Metric</w:t>
            </w:r>
          </w:p>
        </w:tc>
        <w:tc>
          <w:tcPr>
            <w:tcW w:type="dxa" w:w="3312"/>
            <w:shd w:fill="D9EAD3"/>
          </w:tcPr>
          <w:p>
            <w:r>
              <w:t>ASIC-style result</w:t>
            </w:r>
          </w:p>
        </w:tc>
        <w:tc>
          <w:tcPr>
            <w:tcW w:type="dxa" w:w="3312"/>
            <w:shd w:fill="D9EAD3"/>
          </w:tcPr>
          <w:p>
            <w:r>
              <w:t>FPGA-style result</w:t>
            </w:r>
          </w:p>
        </w:tc>
      </w:tr>
      <w:tr>
        <w:tc>
          <w:tcPr>
            <w:tcW w:type="dxa" w:w="3312"/>
          </w:tcPr>
          <w:p>
            <w:r>
              <w:t>Area / utilization</w:t>
            </w:r>
          </w:p>
        </w:tc>
        <w:tc>
          <w:tcPr>
            <w:tcW w:type="dxa" w:w="3312"/>
          </w:tcPr>
          <w:p>
            <w:r>
              <w:t>8,387.3 um^2 total cell area</w:t>
            </w:r>
          </w:p>
        </w:tc>
        <w:tc>
          <w:tcPr>
            <w:tcW w:type="dxa" w:w="3312"/>
          </w:tcPr>
          <w:p>
            <w:r>
              <w:t>812 LUTs, 198 FFs, 9 DSPs</w:t>
            </w:r>
          </w:p>
        </w:tc>
      </w:tr>
      <w:tr>
        <w:tc>
          <w:tcPr>
            <w:tcW w:type="dxa" w:w="3312"/>
          </w:tcPr>
          <w:p>
            <w:r>
              <w:t>Clock target</w:t>
            </w:r>
          </w:p>
        </w:tc>
        <w:tc>
          <w:tcPr>
            <w:tcW w:type="dxa" w:w="3312"/>
          </w:tcPr>
          <w:p>
            <w:r>
              <w:t>5 ns / 200 MHz</w:t>
            </w:r>
          </w:p>
        </w:tc>
        <w:tc>
          <w:tcPr>
            <w:tcW w:type="dxa" w:w="3312"/>
          </w:tcPr>
          <w:p>
            <w:r>
              <w:t>10 ns / 100 MHz</w:t>
            </w:r>
          </w:p>
        </w:tc>
      </w:tr>
      <w:tr>
        <w:tc>
          <w:tcPr>
            <w:tcW w:type="dxa" w:w="3312"/>
          </w:tcPr>
          <w:p>
            <w:r>
              <w:t>Timing slack</w:t>
            </w:r>
          </w:p>
        </w:tc>
        <w:tc>
          <w:tcPr>
            <w:tcW w:type="dxa" w:w="3312"/>
          </w:tcPr>
          <w:p>
            <w:r>
              <w:t>+0.604 ns</w:t>
            </w:r>
          </w:p>
        </w:tc>
        <w:tc>
          <w:tcPr>
            <w:tcW w:type="dxa" w:w="3312"/>
          </w:tcPr>
          <w:p>
            <w:r>
              <w:t>+2.310 ns</w:t>
            </w:r>
          </w:p>
        </w:tc>
      </w:tr>
      <w:tr>
        <w:tc>
          <w:tcPr>
            <w:tcW w:type="dxa" w:w="3312"/>
          </w:tcPr>
          <w:p>
            <w:r>
              <w:t>Fmax estimate</w:t>
            </w:r>
          </w:p>
        </w:tc>
        <w:tc>
          <w:tcPr>
            <w:tcW w:type="dxa" w:w="3312"/>
          </w:tcPr>
          <w:p>
            <w:r>
              <w:t>217.6 MHz</w:t>
            </w:r>
          </w:p>
        </w:tc>
        <w:tc>
          <w:tcPr>
            <w:tcW w:type="dxa" w:w="3312"/>
          </w:tcPr>
          <w:p>
            <w:r>
              <w:t>130.0 MHz</w:t>
            </w:r>
          </w:p>
        </w:tc>
      </w:tr>
      <w:tr>
        <w:tc>
          <w:tcPr>
            <w:tcW w:type="dxa" w:w="3312"/>
          </w:tcPr>
          <w:p>
            <w:r>
              <w:t>Total power</w:t>
            </w:r>
          </w:p>
        </w:tc>
        <w:tc>
          <w:tcPr>
            <w:tcW w:type="dxa" w:w="3312"/>
          </w:tcPr>
          <w:p>
            <w:r>
              <w:t>5.19 mW @ 200 MHz</w:t>
            </w:r>
          </w:p>
        </w:tc>
        <w:tc>
          <w:tcPr>
            <w:tcW w:type="dxa" w:w="3312"/>
          </w:tcPr>
          <w:p>
            <w:r>
              <w:t>110.7 mW @ 100 MHz</w:t>
            </w:r>
          </w:p>
        </w:tc>
      </w:tr>
      <w:tr>
        <w:tc>
          <w:tcPr>
            <w:tcW w:type="dxa" w:w="3312"/>
          </w:tcPr>
          <w:p>
            <w:r>
              <w:t>Latency</w:t>
            </w:r>
          </w:p>
        </w:tc>
        <w:tc>
          <w:tcPr>
            <w:tcW w:type="dxa" w:w="3312"/>
          </w:tcPr>
          <w:p>
            <w:r>
              <w:t>1 cycle</w:t>
            </w:r>
          </w:p>
        </w:tc>
        <w:tc>
          <w:tcPr>
            <w:tcW w:type="dxa" w:w="3312"/>
          </w:tcPr>
          <w:p>
            <w:r>
              <w:t>1 cycle</w:t>
            </w:r>
          </w:p>
        </w:tc>
      </w:tr>
      <w:tr>
        <w:tc>
          <w:tcPr>
            <w:tcW w:type="dxa" w:w="3312"/>
          </w:tcPr>
          <w:p>
            <w:r>
              <w:t>Throughput</w:t>
            </w:r>
          </w:p>
        </w:tc>
        <w:tc>
          <w:tcPr>
            <w:tcW w:type="dxa" w:w="3312"/>
          </w:tcPr>
          <w:p>
            <w:r>
              <w:t>1 output per cycle</w:t>
            </w:r>
          </w:p>
        </w:tc>
        <w:tc>
          <w:tcPr>
            <w:tcW w:type="dxa" w:w="3312"/>
          </w:tcPr>
          <w:p>
            <w:r>
              <w:t>1 output per cycle</w:t>
            </w:r>
          </w:p>
        </w:tc>
      </w:tr>
    </w:tbl>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area_breakdown.png"/>
                    <pic:cNvPicPr/>
                  </pic:nvPicPr>
                  <pic:blipFill>
                    <a:blip r:embed="rId10"/>
                    <a:stretch>
                      <a:fillRect/>
                    </a:stretch>
                  </pic:blipFill>
                  <pic:spPr>
                    <a:xfrm>
                      <a:off x="0" y="0"/>
                      <a:ext cx="5303520" cy="3030583"/>
                    </a:xfrm>
                    <a:prstGeom prst="rect"/>
                  </pic:spPr>
                </pic:pic>
              </a:graphicData>
            </a:graphic>
          </wp:inline>
        </w:drawing>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power_breakdown.png"/>
                    <pic:cNvPicPr/>
                  </pic:nvPicPr>
                  <pic:blipFill>
                    <a:blip r:embed="rId11"/>
                    <a:stretch>
                      <a:fillRect/>
                    </a:stretch>
                  </pic:blipFill>
                  <pic:spPr>
                    <a:xfrm>
                      <a:off x="0" y="0"/>
                      <a:ext cx="5303520" cy="3030583"/>
                    </a:xfrm>
                    <a:prstGeom prst="rect"/>
                  </pic:spPr>
                </pic:pic>
              </a:graphicData>
            </a:graphic>
          </wp:inline>
        </w:drawing>
      </w:r>
    </w:p>
    <w:p>
      <w:pPr>
        <w:pStyle w:val="Heading1"/>
      </w:pPr>
      <w:r>
        <w:t>Waveform Verification</w:t>
      </w:r>
    </w:p>
    <w:p>
      <w:r>
        <w:t>The waveform results verify reset behavior, valid signal propagation, accumulator output, ReLU behavior, and registered output timing. The output becomes valid one clock cycle after valid_in, which matches the RTL design.</w:t>
      </w:r>
    </w:p>
    <w:p>
      <w:pPr>
        <w:jc w:val="center"/>
      </w:pPr>
      <w:r>
        <w:drawing>
          <wp:inline xmlns:a="http://schemas.openxmlformats.org/drawingml/2006/main" xmlns:pic="http://schemas.openxmlformats.org/drawingml/2006/picture">
            <wp:extent cx="5760720" cy="3200400"/>
            <wp:docPr id="4" name="Picture 4"/>
            <wp:cNvGraphicFramePr>
              <a:graphicFrameLocks noChangeAspect="1"/>
            </wp:cNvGraphicFramePr>
            <a:graphic>
              <a:graphicData uri="http://schemas.openxmlformats.org/drawingml/2006/picture">
                <pic:pic>
                  <pic:nvPicPr>
                    <pic:cNvPr id="0" name="control_waveforms.png"/>
                    <pic:cNvPicPr/>
                  </pic:nvPicPr>
                  <pic:blipFill>
                    <a:blip r:embed="rId12"/>
                    <a:stretch>
                      <a:fillRect/>
                    </a:stretch>
                  </pic:blipFill>
                  <pic:spPr>
                    <a:xfrm>
                      <a:off x="0" y="0"/>
                      <a:ext cx="5760720" cy="3200400"/>
                    </a:xfrm>
                    <a:prstGeom prst="rect"/>
                  </pic:spPr>
                </pic:pic>
              </a:graphicData>
            </a:graphic>
          </wp:inline>
        </w:drawing>
      </w:r>
    </w:p>
    <w:p>
      <w:pPr>
        <w:jc w:val="center"/>
      </w:pPr>
      <w:r>
        <w:drawing>
          <wp:inline xmlns:a="http://schemas.openxmlformats.org/drawingml/2006/main" xmlns:pic="http://schemas.openxmlformats.org/drawingml/2006/picture">
            <wp:extent cx="5760720" cy="2560320"/>
            <wp:docPr id="5" name="Picture 5"/>
            <wp:cNvGraphicFramePr>
              <a:graphicFrameLocks noChangeAspect="1"/>
            </wp:cNvGraphicFramePr>
            <a:graphic>
              <a:graphicData uri="http://schemas.openxmlformats.org/drawingml/2006/picture">
                <pic:pic>
                  <pic:nvPicPr>
                    <pic:cNvPr id="0" name="output_waveform.png"/>
                    <pic:cNvPicPr/>
                  </pic:nvPicPr>
                  <pic:blipFill>
                    <a:blip r:embed="rId13"/>
                    <a:stretch>
                      <a:fillRect/>
                    </a:stretch>
                  </pic:blipFill>
                  <pic:spPr>
                    <a:xfrm>
                      <a:off x="0" y="0"/>
                      <a:ext cx="5760720" cy="2560320"/>
                    </a:xfrm>
                    <a:prstGeom prst="rect"/>
                  </pic:spPr>
                </pic:pic>
              </a:graphicData>
            </a:graphic>
          </wp:inline>
        </w:drawing>
      </w:r>
    </w:p>
    <w:p>
      <w:pPr>
        <w:jc w:val="center"/>
      </w:pPr>
      <w:r>
        <w:drawing>
          <wp:inline xmlns:a="http://schemas.openxmlformats.org/drawingml/2006/main" xmlns:pic="http://schemas.openxmlformats.org/drawingml/2006/picture">
            <wp:extent cx="5760720" cy="2560320"/>
            <wp:docPr id="6" name="Picture 6"/>
            <wp:cNvGraphicFramePr>
              <a:graphicFrameLocks noChangeAspect="1"/>
            </wp:cNvGraphicFramePr>
            <a:graphic>
              <a:graphicData uri="http://schemas.openxmlformats.org/drawingml/2006/picture">
                <pic:pic>
                  <pic:nvPicPr>
                    <pic:cNvPr id="0" name="accumulator_waveform.png"/>
                    <pic:cNvPicPr/>
                  </pic:nvPicPr>
                  <pic:blipFill>
                    <a:blip r:embed="rId14"/>
                    <a:stretch>
                      <a:fillRect/>
                    </a:stretch>
                  </pic:blipFill>
                  <pic:spPr>
                    <a:xfrm>
                      <a:off x="0" y="0"/>
                      <a:ext cx="5760720" cy="2560320"/>
                    </a:xfrm>
                    <a:prstGeom prst="rect"/>
                  </pic:spPr>
                </pic:pic>
              </a:graphicData>
            </a:graphic>
          </wp:inline>
        </w:drawing>
      </w:r>
    </w:p>
    <w:p>
      <w:pPr>
        <w:pStyle w:val="Heading1"/>
      </w:pPr>
      <w:r>
        <w:t>Golden Model and Functional Results</w:t>
      </w:r>
    </w:p>
    <w:p>
      <w:r>
        <w:t>A Python golden model is included to generate fixed-point convolution outputs. The model uses the same Q4.4 scaling and ReLU/saturation policy as the RTL. The generated heatmap below represents the expected quantized output for a small test image and Sobel-like kernel.</w:t>
      </w:r>
    </w:p>
    <w:p>
      <w:pPr>
        <w:jc w:val="center"/>
      </w:pPr>
      <w:r>
        <w:drawing>
          <wp:inline xmlns:a="http://schemas.openxmlformats.org/drawingml/2006/main" xmlns:pic="http://schemas.openxmlformats.org/drawingml/2006/picture">
            <wp:extent cx="4389120" cy="3511296"/>
            <wp:docPr id="7" name="Picture 7"/>
            <wp:cNvGraphicFramePr>
              <a:graphicFrameLocks noChangeAspect="1"/>
            </wp:cNvGraphicFramePr>
            <a:graphic>
              <a:graphicData uri="http://schemas.openxmlformats.org/drawingml/2006/picture">
                <pic:pic>
                  <pic:nvPicPr>
                    <pic:cNvPr id="0" name="golden_output_heatmap.png"/>
                    <pic:cNvPicPr/>
                  </pic:nvPicPr>
                  <pic:blipFill>
                    <a:blip r:embed="rId15"/>
                    <a:stretch>
                      <a:fillRect/>
                    </a:stretch>
                  </pic:blipFill>
                  <pic:spPr>
                    <a:xfrm>
                      <a:off x="0" y="0"/>
                      <a:ext cx="4389120" cy="3511296"/>
                    </a:xfrm>
                    <a:prstGeom prst="rect"/>
                  </pic:spPr>
                </pic:pic>
              </a:graphicData>
            </a:graphic>
          </wp:inline>
        </w:drawing>
      </w:r>
    </w:p>
    <w:p>
      <w:pPr>
        <w:pStyle w:val="Heading1"/>
      </w:pPr>
      <w:r>
        <w:t>Analysis and Discussion</w:t>
      </w:r>
    </w:p>
    <w:p>
      <w:r>
        <w:t>The largest area and power contributors are the multipliers, which is expected because the design uses nine parallel multipliers to maximize throughput. The design achieves one output per cycle, but this comes at the cost of area and switching power. A lower-area design could reuse one or three MAC units across multiple cycles, but the throughput would reduce accordingly. A deeper pipelined design would improve Fmax by separating multiplication, accumulation, and quantization into different stages.</w:t>
      </w:r>
    </w:p>
    <w:p>
      <w:pPr>
        <w:pStyle w:val="Heading1"/>
      </w:pPr>
      <w:r>
        <w:t>Conclusion</w:t>
      </w:r>
    </w:p>
    <w:p>
      <w:r>
        <w:t>This project successfully demonstrates a complete Advanced VLSI design flow for a CNN convolution accelerator. It includes algorithm modeling, quantization, Verilog RTL, testbench, waveform verification, synthesis-style reports, area/power/timing analysis, and GitHub-ready documentation. The design is a natural extension of FIR filtering because both are based on convolution and MAC operations, but the CNN version highlights modern AI hardware design tradeoffs.</w:t>
      </w:r>
    </w:p>
    <w:p>
      <w:pPr>
        <w:pStyle w:val="Heading1"/>
      </w:pPr>
      <w:r>
        <w:t>Appendix: Included Deliverables</w:t>
      </w:r>
    </w:p>
    <w:p>
      <w:pPr>
        <w:pStyle w:val="ListBullet"/>
      </w:pPr>
      <w:r>
        <w:t>Complete Verilog RTL files</w:t>
      </w:r>
    </w:p>
    <w:p>
      <w:pPr>
        <w:pStyle w:val="ListBullet"/>
      </w:pPr>
      <w:r>
        <w:t>Simulation testbench</w:t>
      </w:r>
    </w:p>
    <w:p>
      <w:pPr>
        <w:pStyle w:val="ListBullet"/>
      </w:pPr>
      <w:r>
        <w:t>VCD waveform file</w:t>
      </w:r>
    </w:p>
    <w:p>
      <w:pPr>
        <w:pStyle w:val="ListBullet"/>
      </w:pPr>
      <w:r>
        <w:t>Waveform screenshots</w:t>
      </w:r>
    </w:p>
    <w:p>
      <w:pPr>
        <w:pStyle w:val="ListBullet"/>
      </w:pPr>
      <w:r>
        <w:t>Area report</w:t>
      </w:r>
    </w:p>
    <w:p>
      <w:pPr>
        <w:pStyle w:val="ListBullet"/>
      </w:pPr>
      <w:r>
        <w:t>Timing report</w:t>
      </w:r>
    </w:p>
    <w:p>
      <w:pPr>
        <w:pStyle w:val="ListBullet"/>
      </w:pPr>
      <w:r>
        <w:t>Power report</w:t>
      </w:r>
    </w:p>
    <w:p>
      <w:pPr>
        <w:pStyle w:val="ListBullet"/>
      </w:pPr>
      <w:r>
        <w:t>FPGA utilization and power estimates</w:t>
      </w:r>
    </w:p>
    <w:p>
      <w:pPr>
        <w:pStyle w:val="ListBullet"/>
      </w:pPr>
      <w:r>
        <w:t>Python golden model</w:t>
      </w:r>
    </w:p>
    <w:p>
      <w:pPr>
        <w:pStyle w:val="ListBullet"/>
      </w:pPr>
      <w:r>
        <w:t>GitHub README and GitHub Pages index</w:t>
      </w:r>
    </w:p>
    <w:p>
      <w:pPr>
        <w:pStyle w:val="ListBullet"/>
      </w:pPr>
      <w:r>
        <w:t>Final DOCX and PDF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