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6F4B"/>
          <w:sz w:val="44"/>
          <w:szCs w:val="44"/>
        </w:rPr>
        <w:t xml:space="preserve">KUN / SUKI HRMS</w:t>
      </w:r>
    </w:p>
    <w:p>
      <w:pPr>
        <w:spacing w:after="200"/>
      </w:pPr>
      <w:r>
        <w:rPr>
          <w:rFonts w:ascii="Calibri" w:cs="Calibri" w:eastAsia="Calibri" w:hAnsi="Calibri"/>
          <w:color w:val="444444"/>
          <w:sz w:val="30"/>
          <w:szCs w:val="30"/>
        </w:rPr>
        <w:t xml:space="preserve">Effort Estimate and Delivery Plan</w:t>
      </w:r>
    </w:p>
    <w:p>
      <w:pPr>
        <w:pBdr>
          <w:bottom w:val="single" w:color="1F6F4B" w:sz="6"/>
        </w:pBdr>
        <w:spacing w:after="200" w:before="40"/>
      </w:pPr>
      <w:r>
        <w:t xml:space="preserve"/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62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25 August 2026</w:t>
            </w:r>
          </w:p>
        </w:tc>
      </w:tr>
      <w:tr>
        <w:tc>
          <w:tcPr>
            <w:tcW w:type="dxa" w:w="24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6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KUN HRMS project — internal planning and client discussion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Scope basis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BRD sidebar: 14 modules, 203 screens</w:t>
            </w:r>
          </w:p>
        </w:tc>
      </w:tr>
      <w:tr>
        <w:tc>
          <w:tcPr>
            <w:tcW w:type="dxa" w:w="24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Supporting analysis</w:t>
            </w:r>
          </w:p>
        </w:tc>
        <w:tc>
          <w:tcPr>
            <w:tcW w:type="dxa" w:w="66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Legacy ERP schema (ERPDB_KUN_HRMS, 867 tables) and current codebase state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Status of estimate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Indicative, not committed — see Section 11</w:t>
            </w:r>
          </w:p>
        </w:tc>
      </w:tr>
    </w:tbl>
    <w:p>
      <w:pPr>
        <w:spacing w:before="240"/>
      </w:pPr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4B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4B"/>
          <w:sz w:val="30"/>
          <w:szCs w:val="30"/>
        </w:rPr>
        <w:t xml:space="preserve">1. Purpose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document sets out the effort required to build the KUN HRMS in full. It identifies every management area the system must deliver, estimates each in developer-days, states the confidence behind each figure, and lists the assumptions and risks that would move the numbers.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intent is transparency. Where a number is uncertain, that is stated rather than hidden inside an average.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4B"/>
          <w:sz w:val="30"/>
          <w:szCs w:val="30"/>
        </w:rPr>
        <w:t xml:space="preserve">2. How to read this estimate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6F4B"/>
          <w:sz w:val="24"/>
          <w:szCs w:val="24"/>
        </w:rPr>
        <w:t xml:space="preserve">2.1 Unit of measure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One developer-day means one developer working one full day on this project. Effort is not the same as calendar duration; Section 8 converts one to the other.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6F4B"/>
          <w:sz w:val="24"/>
          <w:szCs w:val="24"/>
        </w:rPr>
        <w:t xml:space="preserve">2.2 What a day estimate includes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Database model, API, user interface, validation, role-based access control, and developer self-testing.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6F4B"/>
          <w:sz w:val="24"/>
          <w:szCs w:val="24"/>
        </w:rPr>
        <w:t xml:space="preserve">2.3 What it excludes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Quality assurance, user acceptance testing, bug fixing, project management, requirement clarification meetings, deployment, training and documentation. These are estimated separately in Section 6.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6F4B"/>
          <w:sz w:val="24"/>
          <w:szCs w:val="24"/>
        </w:rPr>
        <w:t xml:space="preserve">2.4 Confidence levels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52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7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The pattern is already built in this codebase, or fully specified by the legacy ERP. The estimate should hold within 20 per cent.</w:t>
            </w:r>
          </w:p>
        </w:tc>
      </w:tr>
      <w:tr>
        <w:tc>
          <w:tcPr>
            <w:tcW w:type="dxa" w:w="15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75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Structure is known, business rules are partly unknown. The estimate could move by 30 to 50 per cent.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7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Business rules are unknown. The figure is a placeholder until the client answers. It could double.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4B"/>
          <w:sz w:val="30"/>
          <w:szCs w:val="30"/>
        </w:rPr>
        <w:t xml:space="preserve">3. Current position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Twenty-one of 203 screens exist today: twenty master maintenance screens and the employee profile. The following are already built and materially reduce the cost of everything that follows: shared data table, form modal, confirmation dialog and field components; the application shell; the three-level navigation covering all 203 screens; and authentication.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Thirty-four Prisma models exist, covering organization masters, payroll and statutory definitions, role-based access control, and the employee record with its eleven related tables.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4B"/>
          <w:sz w:val="30"/>
          <w:szCs w:val="30"/>
        </w:rPr>
        <w:t xml:space="preserve">4. The 32 management areas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6F4B"/>
          <w:sz w:val="24"/>
          <w:szCs w:val="24"/>
        </w:rPr>
        <w:t xml:space="preserve">4.1 Foundation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2750"/>
        <w:gridCol w:w="950"/>
        <w:gridCol w:w="900"/>
        <w:gridCol w:w="1250"/>
        <w:gridCol w:w="3176"/>
      </w:tblGrid>
      <w:tr>
        <w:trPr>
          <w:tblHeader/>
        </w:trPr>
        <w:tc>
          <w:tcPr>
            <w:tcW w:type="dxa" w:w="27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Management area</w:t>
            </w:r>
          </w:p>
        </w:tc>
        <w:tc>
          <w:tcPr>
            <w:tcW w:type="dxa" w:w="9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  <w:tc>
          <w:tcPr>
            <w:tcW w:type="dxa" w:w="9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12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317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Basis for the estimate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 Organization Management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 – 10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Six of ten masters already exist. New: Company, Branch/Unit, Level rank, reporting structure, org chart.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 User &amp; Access Management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– 12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Role and permission models exist; page-level permissions do not. 203 navigation nodes must be mapped and enforced.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3. Approval Management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 – 15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Legacy ERP supplies the design. Build the engine once, then 15 views reuse one component. Blocks eight other modules.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 Audit &amp; Security Management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 – 10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Audit log and write interceptor, session and password policy, salary field masking.</w:t>
            </w:r>
          </w:p>
        </w:tc>
      </w:tr>
      <w:tr>
        <w:tc>
          <w:tcPr>
            <w:tcW w:type="dxa" w:w="27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Foundation subtotal</w:t>
            </w:r>
          </w:p>
        </w:tc>
        <w:tc>
          <w:tcPr>
            <w:tcW w:type="dxa" w:w="9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32</w:t>
            </w:r>
          </w:p>
        </w:tc>
        <w:tc>
          <w:tcPr>
            <w:tcW w:type="dxa" w:w="9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38 – 47</w:t>
            </w:r>
          </w:p>
        </w:tc>
        <w:tc>
          <w:tcPr>
            <w:tcW w:type="dxa" w:w="12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176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6F4B"/>
          <w:sz w:val="24"/>
          <w:szCs w:val="24"/>
        </w:rPr>
        <w:t xml:space="preserve">4.2 Employee lifecycle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2750"/>
        <w:gridCol w:w="950"/>
        <w:gridCol w:w="900"/>
        <w:gridCol w:w="1250"/>
        <w:gridCol w:w="3176"/>
      </w:tblGrid>
      <w:tr>
        <w:trPr>
          <w:tblHeader/>
        </w:trPr>
        <w:tc>
          <w:tcPr>
            <w:tcW w:type="dxa" w:w="27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Management area</w:t>
            </w:r>
          </w:p>
        </w:tc>
        <w:tc>
          <w:tcPr>
            <w:tcW w:type="dxa" w:w="9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  <w:tc>
          <w:tcPr>
            <w:tcW w:type="dxa" w:w="9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12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317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Basis for the estimate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5. Employee Management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 – 15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Employee CRUD and 11 related models exist. Remaining work is profile tab screens. Repetitive and well understood.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6. Recruitment Management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12+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18 – 22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BRD shows offer letter onward; ERP runs a full candidate to induction pipeline. Drops to 8–10 days if offer-stage only.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7. Joining / Onboarding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 – 10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Checklist plus six statutory forms. Builds the PDF template engine reused by items 9 and 28.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8. Lifecycle Management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 – 10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Confirmation, transfer, promotion, designation change, increment. JobInfo versioning already exists.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9. Letters &amp; Certificates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 – 8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Template plus merge fields plus PDF. Cheap once the template engine exists.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10. Separation Management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 – 10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Resignation, exit form, exit interview, no due, relieving. Must hand off to Full &amp; Final settlement.</w:t>
            </w:r>
          </w:p>
        </w:tc>
      </w:tr>
      <w:tr>
        <w:tc>
          <w:tcPr>
            <w:tcW w:type="dxa" w:w="27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Employee lifecycle subtotal</w:t>
            </w:r>
          </w:p>
        </w:tc>
        <w:tc>
          <w:tcPr>
            <w:tcW w:type="dxa" w:w="9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49</w:t>
            </w:r>
          </w:p>
        </w:tc>
        <w:tc>
          <w:tcPr>
            <w:tcW w:type="dxa" w:w="9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60 – 75</w:t>
            </w:r>
          </w:p>
        </w:tc>
        <w:tc>
          <w:tcPr>
            <w:tcW w:type="dxa" w:w="12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176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6F4B"/>
          <w:sz w:val="24"/>
          <w:szCs w:val="24"/>
        </w:rPr>
        <w:t xml:space="preserve">4.3 Time and attendance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2750"/>
        <w:gridCol w:w="950"/>
        <w:gridCol w:w="900"/>
        <w:gridCol w:w="1250"/>
        <w:gridCol w:w="3176"/>
      </w:tblGrid>
      <w:tr>
        <w:trPr>
          <w:tblHeader/>
        </w:trPr>
        <w:tc>
          <w:tcPr>
            <w:tcW w:type="dxa" w:w="27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Management area</w:t>
            </w:r>
          </w:p>
        </w:tc>
        <w:tc>
          <w:tcPr>
            <w:tcW w:type="dxa" w:w="9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  <w:tc>
          <w:tcPr>
            <w:tcW w:type="dxa" w:w="9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12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317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Basis for the estimate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11. Shift &amp; Holiday Management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– 12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Holiday master, weekly off configuration, and a per-employee per-day roster grid. The grid is the expensive part.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12. Attendance Management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25 – 30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Hardest non-payroll area. eSSL integration, punch pairing, night shifts, grace minutes, LOM, mis-punch, mobile with geolocation, period lock.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13. Leave Management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 – 18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Seven leave types, each with its own accrual, carry-forward bucket and encashment rule. The accrual engine is the risk.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14. Overtime Management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 – 10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ERP gives the shape: percentage by salary band and day type. Base and divisor still unknown.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15. Comp-Off &amp; Permission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 – 8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Comp-off links a worked date to a comp-off date, consumed in minutes. Permission allowance rule not yet stated.</w:t>
            </w:r>
          </w:p>
        </w:tc>
      </w:tr>
      <w:tr>
        <w:tc>
          <w:tcPr>
            <w:tcW w:type="dxa" w:w="27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Time &amp; attendance subtotal</w:t>
            </w:r>
          </w:p>
        </w:tc>
        <w:tc>
          <w:tcPr>
            <w:tcW w:type="dxa" w:w="9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28</w:t>
            </w:r>
          </w:p>
        </w:tc>
        <w:tc>
          <w:tcPr>
            <w:tcW w:type="dxa" w:w="9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64 – 78</w:t>
            </w:r>
          </w:p>
        </w:tc>
        <w:tc>
          <w:tcPr>
            <w:tcW w:type="dxa" w:w="12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176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6F4B"/>
          <w:sz w:val="24"/>
          <w:szCs w:val="24"/>
        </w:rPr>
        <w:t xml:space="preserve">4.4 Compensation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2750"/>
        <w:gridCol w:w="950"/>
        <w:gridCol w:w="900"/>
        <w:gridCol w:w="1250"/>
        <w:gridCol w:w="3176"/>
      </w:tblGrid>
      <w:tr>
        <w:trPr>
          <w:tblHeader/>
        </w:trPr>
        <w:tc>
          <w:tcPr>
            <w:tcW w:type="dxa" w:w="27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Management area</w:t>
            </w:r>
          </w:p>
        </w:tc>
        <w:tc>
          <w:tcPr>
            <w:tcW w:type="dxa" w:w="9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  <w:tc>
          <w:tcPr>
            <w:tcW w:type="dxa" w:w="9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12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317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Basis for the estimate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16. Salary Structure Management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 – 18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Component master, salary logic, effective-dated structure, CTC build-up, revision triggering arrears.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17. Payroll Processing Engine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 – 40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Largest single item. Pro-rating, LOP and LOM, OT by day type, deductions, statutory, rounding, locking and reversal. Unreliable until formulas arrive.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18. Statutory Management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 – 20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PF with per-employee configuration, ESI thresholds, PT, TDS, Tamil Nadu LWF, plus return formats.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19. Deduction Management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 – 10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Mostly simple per-month entry screens. Canteen is fed automatically from eSSL token logs.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20. Loan Management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 – 10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ERP defines the full cycle: master, apply, approve, issue with instalments, EMI recovery.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21. Income Tax Management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 – 15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Declaration across 27 categories, proof submission, annual projection, monthly TDS, old and new regime.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22. Contract Labour Payroll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– 12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second payroll engine on a per-day basis with contractor service charge. Not in the BRD; scope must be confirmed.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23. Benefits &amp; Incentives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– 12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Double-machine incentive reads machine allocation and production data from the manufacturing ERP. Integration risk.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24. Payroll Output Management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– 12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Payslip individual and bulk, summary, bank transfer file, reconciliation. Bank format not yet supplied.</w:t>
            </w:r>
          </w:p>
        </w:tc>
      </w:tr>
      <w:tr>
        <w:tc>
          <w:tcPr>
            <w:tcW w:type="dxa" w:w="27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Compensation subtotal</w:t>
            </w:r>
          </w:p>
        </w:tc>
        <w:tc>
          <w:tcPr>
            <w:tcW w:type="dxa" w:w="9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48</w:t>
            </w:r>
          </w:p>
        </w:tc>
        <w:tc>
          <w:tcPr>
            <w:tcW w:type="dxa" w:w="9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118 – 149</w:t>
            </w:r>
          </w:p>
        </w:tc>
        <w:tc>
          <w:tcPr>
            <w:tcW w:type="dxa" w:w="12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176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6F4B"/>
          <w:sz w:val="24"/>
          <w:szCs w:val="24"/>
        </w:rPr>
        <w:t xml:space="preserve">4.5 Supporting modules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2750"/>
        <w:gridCol w:w="950"/>
        <w:gridCol w:w="900"/>
        <w:gridCol w:w="1250"/>
        <w:gridCol w:w="3176"/>
      </w:tblGrid>
      <w:tr>
        <w:trPr>
          <w:tblHeader/>
        </w:trPr>
        <w:tc>
          <w:tcPr>
            <w:tcW w:type="dxa" w:w="27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Management area</w:t>
            </w:r>
          </w:p>
        </w:tc>
        <w:tc>
          <w:tcPr>
            <w:tcW w:type="dxa" w:w="9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  <w:tc>
          <w:tcPr>
            <w:tcW w:type="dxa" w:w="9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12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317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Basis for the estimate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25. Document Management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– 12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Indexes documents produced by other modules, with search, preview, download and access control. Depends on those modules existing.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26. Learning &amp; Development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– 12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Competency, skill matrix, skill levels, training plan and calendar. ERP also tracks scores and feedback.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27. Visitor &amp; Gate Management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 – 10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Gate inward and outward, visitor pass with approval, photo capture. Self-contained, low dependency.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28. Compliance Management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 – 15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Tamil Nadu Factories Rules Forms 25, 15, 25B, 25C, 21, 22. Layouts fixed; depends on attendance, leave and payroll being correct.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29. Employee Self Service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 – 15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Ten screens that must work well on mobile, which is where most of the effort goes.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30. Reports Management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36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 – 35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Shared report framework first (about 5 days), then roughly 0.75 days per report. Some finance reports have no data source yet.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31. Dashboard Management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 – 10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Ten KPI views over data other modules already produce. Chart and card components exist.</w:t>
            </w:r>
          </w:p>
        </w:tc>
      </w:tr>
      <w:tr>
        <w:tc>
          <w:tcPr>
            <w:tcW w:type="dxa" w:w="27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32. Notification Management</w:t>
            </w:r>
          </w:p>
        </w:tc>
        <w:tc>
          <w:tcPr>
            <w:tcW w:type="dxa" w:w="9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 – 10</w:t>
            </w:r>
          </w:p>
        </w:tc>
        <w:tc>
          <w:tcPr>
            <w:tcW w:type="dxa" w:w="125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317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Email and WhatsApp configuration plus event triggers. Cost scales with the event list, not yet supplied.</w:t>
            </w:r>
          </w:p>
        </w:tc>
      </w:tr>
      <w:tr>
        <w:tc>
          <w:tcPr>
            <w:tcW w:type="dxa" w:w="27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Supporting subtotal</w:t>
            </w:r>
          </w:p>
        </w:tc>
        <w:tc>
          <w:tcPr>
            <w:tcW w:type="dxa" w:w="9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79</w:t>
            </w:r>
          </w:p>
        </w:tc>
        <w:tc>
          <w:tcPr>
            <w:tcW w:type="dxa" w:w="9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88 – 109</w:t>
            </w:r>
          </w:p>
        </w:tc>
        <w:tc>
          <w:tcPr>
            <w:tcW w:type="dxa" w:w="125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176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6F4B"/>
          <w:sz w:val="24"/>
          <w:szCs w:val="24"/>
        </w:rPr>
        <w:t xml:space="preserve">4.6 Cross-cutting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2750"/>
        <w:gridCol w:w="950"/>
        <w:gridCol w:w="900"/>
        <w:gridCol w:w="1250"/>
        <w:gridCol w:w="3176"/>
      </w:tblGrid>
      <w:tr>
        <w:trPr>
          <w:tblHeader/>
        </w:trPr>
        <w:tc>
          <w:tcPr>
            <w:tcW w:type="dxa" w:w="27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Management area</w:t>
            </w:r>
          </w:p>
        </w:tc>
        <w:tc>
          <w:tcPr>
            <w:tcW w:type="dxa" w:w="9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  <w:tc>
          <w:tcPr>
            <w:tcW w:type="dxa" w:w="9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125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317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Basis for the estimate</w:t>
            </w:r>
          </w:p>
        </w:tc>
      </w:tr>
      <w:tr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 Migration</w:t>
            </w:r>
          </w:p>
        </w:tc>
        <w:tc>
          <w:tcPr>
            <w:tcW w:type="dxa" w:w="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– 20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3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Employee master, attendance history, leave balances, payroll history and documents. Scope unknown. A mid-year go-live also requires year-to-date import for TDS and PF.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4B"/>
          <w:sz w:val="30"/>
          <w:szCs w:val="30"/>
        </w:rPr>
        <w:t xml:space="preserve">5. Development totals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3400"/>
        <w:gridCol w:w="1400"/>
        <w:gridCol w:w="1400"/>
        <w:gridCol w:w="2826"/>
      </w:tblGrid>
      <w:tr>
        <w:trPr>
          <w:tblHeader/>
        </w:trPr>
        <w:tc>
          <w:tcPr>
            <w:tcW w:type="dxa" w:w="34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14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282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Share of effort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38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47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per cent</w:t>
            </w:r>
          </w:p>
        </w:tc>
      </w:tr>
      <w:tr>
        <w:tc>
          <w:tcPr>
            <w:tcW w:type="dxa" w:w="34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Employee lifecycle</w:t>
            </w:r>
          </w:p>
        </w:tc>
        <w:tc>
          <w:tcPr>
            <w:tcW w:type="dxa" w:w="14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60</w:t>
            </w:r>
          </w:p>
        </w:tc>
        <w:tc>
          <w:tcPr>
            <w:tcW w:type="dxa" w:w="14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75</w:t>
            </w:r>
          </w:p>
        </w:tc>
        <w:tc>
          <w:tcPr>
            <w:tcW w:type="dxa" w:w="28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 per cent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 and attendance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64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78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 per cent</w:t>
            </w:r>
          </w:p>
        </w:tc>
      </w:tr>
      <w:tr>
        <w:tc>
          <w:tcPr>
            <w:tcW w:type="dxa" w:w="34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Compensation</w:t>
            </w:r>
          </w:p>
        </w:tc>
        <w:tc>
          <w:tcPr>
            <w:tcW w:type="dxa" w:w="14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118</w:t>
            </w:r>
          </w:p>
        </w:tc>
        <w:tc>
          <w:tcPr>
            <w:tcW w:type="dxa" w:w="14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149</w:t>
            </w:r>
          </w:p>
        </w:tc>
        <w:tc>
          <w:tcPr>
            <w:tcW w:type="dxa" w:w="28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31 per cent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Supporting modules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88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109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23 per cent</w:t>
            </w:r>
          </w:p>
        </w:tc>
      </w:tr>
      <w:tr>
        <w:tc>
          <w:tcPr>
            <w:tcW w:type="dxa" w:w="34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Data migration</w:t>
            </w:r>
          </w:p>
        </w:tc>
        <w:tc>
          <w:tcPr>
            <w:tcW w:type="dxa" w:w="14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28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 per cent</w:t>
            </w:r>
          </w:p>
        </w:tc>
      </w:tr>
      <w:tr>
        <w:tc>
          <w:tcPr>
            <w:tcW w:type="dxa" w:w="34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Development total</w:t>
            </w:r>
          </w:p>
        </w:tc>
        <w:tc>
          <w:tcPr>
            <w:tcW w:type="dxa" w:w="14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383</w:t>
            </w:r>
          </w:p>
        </w:tc>
        <w:tc>
          <w:tcPr>
            <w:tcW w:type="dxa" w:w="14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478</w:t>
            </w:r>
          </w:p>
        </w:tc>
        <w:tc>
          <w:tcPr>
            <w:tcW w:type="dxa" w:w="2826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100 per cent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Four items account for roughly 30 per cent of the build: Payroll Processing, Reports, Attendance and Statutory. Three of those four carry Low confidence.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4B"/>
          <w:sz w:val="30"/>
          <w:szCs w:val="30"/>
        </w:rPr>
        <w:t xml:space="preserve">6. Effort beyond development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These are real costs and are not included in the figures above.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3600"/>
        <w:gridCol w:w="3000"/>
        <w:gridCol w:w="2426"/>
      </w:tblGrid>
      <w:tr>
        <w:trPr>
          <w:tblHeader/>
        </w:trPr>
        <w:tc>
          <w:tcPr>
            <w:tcW w:type="dxa" w:w="36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30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  <w:tc>
          <w:tcPr>
            <w:tcW w:type="dxa" w:w="242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Quality assurance and test cycles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 per cent of development</w:t>
            </w:r>
          </w:p>
        </w:tc>
        <w:tc>
          <w:tcPr>
            <w:tcW w:type="dxa" w:w="2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77 – 96</w:t>
            </w:r>
          </w:p>
        </w:tc>
      </w:tr>
      <w:tr>
        <w:tc>
          <w:tcPr>
            <w:tcW w:type="dxa" w:w="36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User acceptance testing and rework</w:t>
            </w:r>
          </w:p>
        </w:tc>
        <w:tc>
          <w:tcPr>
            <w:tcW w:type="dxa" w:w="30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per cent of development</w:t>
            </w:r>
          </w:p>
        </w:tc>
        <w:tc>
          <w:tcPr>
            <w:tcW w:type="dxa" w:w="24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38 – 48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Project management and client meetings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per cent of development</w:t>
            </w:r>
          </w:p>
        </w:tc>
        <w:tc>
          <w:tcPr>
            <w:tcW w:type="dxa" w:w="2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38 – 48</w:t>
            </w:r>
          </w:p>
        </w:tc>
      </w:tr>
      <w:tr>
        <w:tc>
          <w:tcPr>
            <w:tcW w:type="dxa" w:w="36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Deployment, environments, go-live</w:t>
            </w:r>
          </w:p>
        </w:tc>
        <w:tc>
          <w:tcPr>
            <w:tcW w:type="dxa" w:w="30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Fixed</w:t>
            </w:r>
          </w:p>
        </w:tc>
        <w:tc>
          <w:tcPr>
            <w:tcW w:type="dxa" w:w="24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– 15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Training and documentation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Fixed</w:t>
            </w:r>
          </w:p>
        </w:tc>
        <w:tc>
          <w:tcPr>
            <w:tcW w:type="dxa" w:w="2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– 15</w:t>
            </w:r>
          </w:p>
        </w:tc>
      </w:tr>
      <w:tr>
        <w:tc>
          <w:tcPr>
            <w:tcW w:type="dxa" w:w="36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Subtotal</w:t>
            </w:r>
          </w:p>
        </w:tc>
        <w:tc>
          <w:tcPr>
            <w:tcW w:type="dxa" w:w="30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426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173 – 222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4B"/>
          <w:sz w:val="30"/>
          <w:szCs w:val="30"/>
        </w:rPr>
        <w:t xml:space="preserve">7. Total effort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42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Developer-days</w:t>
            </w:r>
          </w:p>
        </w:tc>
      </w:tr>
      <w:t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4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383 – 478</w:t>
            </w:r>
          </w:p>
        </w:tc>
      </w:tr>
      <w:tr>
        <w:tc>
          <w:tcPr>
            <w:tcW w:type="dxa" w:w="46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Beyond development</w:t>
            </w:r>
          </w:p>
        </w:tc>
        <w:tc>
          <w:tcPr>
            <w:tcW w:type="dxa" w:w="44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173 – 222</w:t>
            </w:r>
          </w:p>
        </w:tc>
      </w:tr>
      <w:tr>
        <w:tc>
          <w:tcPr>
            <w:tcW w:type="dxa" w:w="46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4426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556 – 700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4B"/>
          <w:sz w:val="30"/>
          <w:szCs w:val="30"/>
        </w:rPr>
        <w:t xml:space="preserve">8. Calendar duration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Effort is not duration. Duration depends on team size and on how much work can genuinely run in parallel.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2200"/>
        <w:gridCol w:w="2600"/>
        <w:gridCol w:w="2200"/>
        <w:gridCol w:w="2026"/>
      </w:tblGrid>
      <w:tr>
        <w:trPr>
          <w:tblHeader/>
        </w:trPr>
        <w:tc>
          <w:tcPr>
            <w:tcW w:type="dxa" w:w="22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Team size</w:t>
            </w:r>
          </w:p>
        </w:tc>
        <w:tc>
          <w:tcPr>
            <w:tcW w:type="dxa" w:w="26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Effective days per week</w:t>
            </w:r>
          </w:p>
        </w:tc>
        <w:tc>
          <w:tcPr>
            <w:tcW w:type="dxa" w:w="22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Working weeks</w:t>
            </w:r>
          </w:p>
        </w:tc>
        <w:tc>
          <w:tcPr>
            <w:tcW w:type="dxa" w:w="202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Calendar duration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 developers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 per developer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70 – 88</w:t>
            </w:r>
          </w:p>
        </w:tc>
        <w:tc>
          <w:tcPr>
            <w:tcW w:type="dxa" w:w="2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 – 20 months</w:t>
            </w:r>
          </w:p>
        </w:tc>
      </w:tr>
      <w:tr>
        <w:tc>
          <w:tcPr>
            <w:tcW w:type="dxa" w:w="22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 developers</w:t>
            </w:r>
          </w:p>
        </w:tc>
        <w:tc>
          <w:tcPr>
            <w:tcW w:type="dxa" w:w="26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 per developer</w:t>
            </w:r>
          </w:p>
        </w:tc>
        <w:tc>
          <w:tcPr>
            <w:tcW w:type="dxa" w:w="22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46 – 58</w:t>
            </w:r>
          </w:p>
        </w:tc>
        <w:tc>
          <w:tcPr>
            <w:tcW w:type="dxa" w:w="20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11 – 13 months</w:t>
            </w:r>
          </w:p>
        </w:tc>
      </w:tr>
      <w:tr>
        <w:tc>
          <w:tcPr>
            <w:tcW w:type="dxa" w:w="22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 developers</w:t>
            </w:r>
          </w:p>
        </w:tc>
        <w:tc>
          <w:tcPr>
            <w:tcW w:type="dxa" w:w="26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 per developer</w:t>
            </w:r>
          </w:p>
        </w:tc>
        <w:tc>
          <w:tcPr>
            <w:tcW w:type="dxa" w:w="22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35 – 44</w:t>
            </w:r>
          </w:p>
        </w:tc>
        <w:tc>
          <w:tcPr>
            <w:tcW w:type="dxa" w:w="2026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8 – 10 months</w:t>
            </w:r>
          </w:p>
        </w:tc>
      </w:tr>
      <w:tr>
        <w:tc>
          <w:tcPr>
            <w:tcW w:type="dxa" w:w="22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 developers</w:t>
            </w:r>
          </w:p>
        </w:tc>
        <w:tc>
          <w:tcPr>
            <w:tcW w:type="dxa" w:w="26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 per developer</w:t>
            </w:r>
          </w:p>
        </w:tc>
        <w:tc>
          <w:tcPr>
            <w:tcW w:type="dxa" w:w="22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28 – 35</w:t>
            </w:r>
          </w:p>
        </w:tc>
        <w:tc>
          <w:tcPr>
            <w:tcW w:type="dxa" w:w="20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 – 8 months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Four effective days per week, not five: meetings, code review, clarification and context switching consume the remainder. Estimating at five days is the most common cause of schedule overrun.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Adding developers beyond five produces waiting rather than throughput. The dependency chain is real: approvals block eight modules, attendance blocks leave, overtime and payroll, and payroll blocks statutory, outputs, compliance and half the reports.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Recommendation: four developers, delivering in eight to ten months.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4B"/>
          <w:sz w:val="30"/>
          <w:szCs w:val="30"/>
        </w:rPr>
        <w:t xml:space="preserve">9. Suggested phasing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Order is set by dependency, not preference.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1000"/>
        <w:gridCol w:w="4626"/>
        <w:gridCol w:w="1700"/>
        <w:gridCol w:w="1700"/>
      </w:tblGrid>
      <w:tr>
        <w:trPr>
          <w:tblHeader/>
        </w:trPr>
        <w:tc>
          <w:tcPr>
            <w:tcW w:type="dxa" w:w="10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62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17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17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Foundation — organization, access, approval engine, audit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38 – 47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47</w:t>
            </w:r>
          </w:p>
        </w:tc>
      </w:tr>
      <w:tr>
        <w:tc>
          <w:tcPr>
            <w:tcW w:type="dxa" w:w="10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6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Employee core — employee, lifecycle, letters, separation, onboarding</w:t>
            </w:r>
          </w:p>
        </w:tc>
        <w:tc>
          <w:tcPr>
            <w:tcW w:type="dxa" w:w="17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42 – 53</w:t>
            </w:r>
          </w:p>
        </w:tc>
        <w:tc>
          <w:tcPr>
            <w:tcW w:type="dxa" w:w="17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Time — shift and holiday, attendance, leave, overtime, comp-off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64 – 78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178</w:t>
            </w:r>
          </w:p>
        </w:tc>
      </w:tr>
      <w:tr>
        <w:tc>
          <w:tcPr>
            <w:tcW w:type="dxa" w:w="10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6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Pay — salary structure, payroll engine, statutory, deductions, loans, tax, outputs</w:t>
            </w:r>
          </w:p>
        </w:tc>
        <w:tc>
          <w:tcPr>
            <w:tcW w:type="dxa" w:w="17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98 – 125</w:t>
            </w:r>
          </w:p>
        </w:tc>
        <w:tc>
          <w:tcPr>
            <w:tcW w:type="dxa" w:w="17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303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Extended — recruitment, contract payroll, benefits, self service, documents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58 – 71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374</w:t>
            </w:r>
          </w:p>
        </w:tc>
      </w:tr>
      <w:tr>
        <w:tc>
          <w:tcPr>
            <w:tcW w:type="dxa" w:w="10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6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Output and compliance — reports, dashboards, statutory forms, L&amp;D, visitor, notifications</w:t>
            </w:r>
          </w:p>
        </w:tc>
        <w:tc>
          <w:tcPr>
            <w:tcW w:type="dxa" w:w="17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76 – 92</w:t>
            </w:r>
          </w:p>
        </w:tc>
        <w:tc>
          <w:tcPr>
            <w:tcW w:type="dxa" w:w="17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466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Migration and go-live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25 – 35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501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first usable release arrives at the end of Phase 4 — an organization that can hire, manage employees, track attendance and run payroll. That is approximately 300 to 380 development days, or six to eight months with four developers.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4B"/>
          <w:sz w:val="30"/>
          <w:szCs w:val="30"/>
        </w:rPr>
        <w:t xml:space="preserve">10. Immediate opportunity: the Masters layer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Masters are the only major layer not blocked by the missing payroll formulas. They depend on knowing what fields and values exist, which complete master data and a complete requirements document would supply.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4600"/>
        <w:gridCol w:w="2200"/>
        <w:gridCol w:w="2226"/>
      </w:tblGrid>
      <w:tr>
        <w:trPr>
          <w:tblHeader/>
        </w:trPr>
        <w:tc>
          <w:tcPr>
            <w:tcW w:type="dxa" w:w="46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22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</w:tr>
      <w:t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Masters built and working today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Masters identified but not built</w:t>
            </w:r>
          </w:p>
        </w:tc>
        <w:tc>
          <w:tcPr>
            <w:tcW w:type="dxa" w:w="22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28</w:t>
            </w:r>
          </w:p>
        </w:tc>
        <w:tc>
          <w:tcPr>
            <w:tcW w:type="dxa" w:w="22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Prisma models and migration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about 20 models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 – 4</w:t>
            </w:r>
          </w:p>
        </w:tc>
      </w:tr>
      <w:tr>
        <w:tc>
          <w:tcPr>
            <w:tcW w:type="dxa" w:w="46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Seeding real master data from the ERP export</w:t>
            </w:r>
          </w:p>
        </w:tc>
        <w:tc>
          <w:tcPr>
            <w:tcW w:type="dxa" w:w="22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2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 – 4</w:t>
            </w:r>
          </w:p>
        </w:tc>
      </w:tr>
      <w:tr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Access control wiring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28 nodes</w:t>
            </w:r>
          </w:p>
        </w:tc>
        <w:tc>
          <w:tcPr>
            <w:tcW w:type="dxa" w:w="2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6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Quality assurance</w:t>
            </w:r>
          </w:p>
        </w:tc>
        <w:tc>
          <w:tcPr>
            <w:tcW w:type="dxa" w:w="22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2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6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Total to complete the Masters layer</w:t>
            </w:r>
          </w:p>
        </w:tc>
        <w:tc>
          <w:tcPr>
            <w:tcW w:type="dxa" w:w="2200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47 masters</w:t>
            </w:r>
          </w:p>
        </w:tc>
        <w:tc>
          <w:tcPr>
            <w:tcW w:type="dxa" w:w="2226"/>
            <w:shd w:fill="EA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46 – 48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With three developers this is four to five weeks. Masters parallelize almost linearly because the screens do not depend on one another.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One decision must be taken before building rather than after: whether rate and slab masters require effective dating. PF rates, ESI rates, professional tax, labour welfare fund and overtime slabs all change by notification, and payroll for a past month must use the rate then in force. Retrofitting version history onto a master after payroll consumes it is expensive.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4B"/>
          <w:sz w:val="30"/>
          <w:szCs w:val="30"/>
        </w:rPr>
        <w:t xml:space="preserve">11. Assumptions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1. The current technology stack continues: Next.js, Prisma, SQL Server and the existing component library.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2. Developers are familiar with the stack and require no ramp-up period.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3. The client answers open questions within days rather than weeks.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4. Requirements do not expand beyond the 203-screen sidebar plus the gaps already confirmed.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5. One production unit at go-live.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6. The eSSL biometric estate offers a usable integration path, whether by interface, database or file export.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4B"/>
          <w:sz w:val="30"/>
          <w:szCs w:val="30"/>
        </w:rPr>
        <w:t xml:space="preserve">12. Risks and opportunities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6F4B"/>
          <w:sz w:val="24"/>
          <w:szCs w:val="24"/>
        </w:rPr>
        <w:t xml:space="preserve">12.1 Risks that would increase the estimate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82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Payroll formulas remain undocumented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Payroll engine could move from 30 to 60 days. Highest single risk in the project.</w:t>
            </w:r>
          </w:p>
        </w:tc>
      </w:tr>
      <w:tr>
        <w:tc>
          <w:tcPr>
            <w:tcW w:type="dxa" w:w="52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Multiple units go live together</w:t>
            </w:r>
          </w:p>
        </w:tc>
        <w:tc>
          <w:tcPr>
            <w:tcW w:type="dxa" w:w="38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Statutory registers, compliance forms and payroll all multiply. Add 15 to 25 per cent.</w:t>
            </w:r>
          </w:p>
        </w:tc>
      </w:tr>
      <w:tr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Full recruitment pipeline confirmed in scope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Add 10 to 12 days over the BRD-only reading.</w:t>
            </w:r>
          </w:p>
        </w:tc>
      </w:tr>
      <w:tr>
        <w:tc>
          <w:tcPr>
            <w:tcW w:type="dxa" w:w="52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Contract labour payroll requires separate statutory treatment</w:t>
            </w:r>
          </w:p>
        </w:tc>
        <w:tc>
          <w:tcPr>
            <w:tcW w:type="dxa" w:w="38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Could double the 10 to 12 days already allowed.</w:t>
            </w:r>
          </w:p>
        </w:tc>
      </w:tr>
      <w:tr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Double-machine incentive needs live production data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Cross-system integration. Add 8 to 15 days and a dependency on the ERP team.</w:t>
            </w:r>
          </w:p>
        </w:tc>
      </w:tr>
      <w:tr>
        <w:tc>
          <w:tcPr>
            <w:tcW w:type="dxa" w:w="52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Bank file format is non-standard</w:t>
            </w:r>
          </w:p>
        </w:tc>
        <w:tc>
          <w:tcPr>
            <w:tcW w:type="dxa" w:w="38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Two to three days for each additional format.</w:t>
            </w:r>
          </w:p>
        </w:tc>
      </w:tr>
      <w:tr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Mid-year go-live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Year-to-date import for TDS and PF. Add 10 to 15 days.</w:t>
            </w:r>
          </w:p>
        </w:tc>
      </w:tr>
      <w:tr>
        <w:tc>
          <w:tcPr>
            <w:tcW w:type="dxa" w:w="52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Attendance rules vary by department or category</w:t>
            </w:r>
          </w:p>
        </w:tc>
        <w:tc>
          <w:tcPr>
            <w:tcW w:type="dxa" w:w="38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Add 10 to 15 days to attendance alone.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6F4B"/>
          <w:sz w:val="24"/>
          <w:szCs w:val="24"/>
        </w:rPr>
        <w:t xml:space="preserve">12.2 Opportunities that would reduce it</w:t>
      </w:r>
    </w:p>
    <w:tbl>
      <w:tblPr>
        <w:tblW w:type="dxa" w:w="9026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C9D2CC" w:sz="2"/>
          <w:insideV w:val="single" w:color="C9D2CC" w:sz="2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3826"/>
            <w:shd w:fill="1F6F4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Saving</w:t>
            </w:r>
          </w:p>
        </w:tc>
      </w:tr>
      <w:tr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Client supplies the payroll workbook with live formulas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Removes the largest uncertainty and may avoid 10 to 15 days of rework.</w:t>
            </w:r>
          </w:p>
        </w:tc>
      </w:tr>
      <w:tr>
        <w:tc>
          <w:tcPr>
            <w:tcW w:type="dxa" w:w="52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Client supplies a master-data export</w:t>
            </w:r>
          </w:p>
        </w:tc>
        <w:tc>
          <w:tcPr>
            <w:tcW w:type="dxa" w:w="38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Removes guesswork across three requirement topics. Saves 5 to 8 days.</w:t>
            </w:r>
          </w:p>
        </w:tc>
      </w:tr>
      <w:tr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Recruitment confirmed as offer-stage only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Saves 10 to 12 days.</w:t>
            </w:r>
          </w:p>
        </w:tc>
      </w:tr>
      <w:tr>
        <w:tc>
          <w:tcPr>
            <w:tcW w:type="dxa" w:w="52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Contract labour payroll deferred to a second phase</w:t>
            </w:r>
          </w:p>
        </w:tc>
        <w:tc>
          <w:tcPr>
            <w:tcW w:type="dxa" w:w="38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Saves 10 to 12 days.</w:t>
            </w:r>
          </w:p>
        </w:tc>
      </w:tr>
      <w:tr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Reports reduced from 36 to those actually used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Saves 15 to 18 days.</w:t>
            </w:r>
          </w:p>
        </w:tc>
      </w:tr>
      <w:tr>
        <w:tc>
          <w:tcPr>
            <w:tcW w:type="dxa" w:w="5200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Eight simple lookups routed through the existing dropdown master</w:t>
            </w:r>
          </w:p>
        </w:tc>
        <w:tc>
          <w:tcPr>
            <w:tcW w:type="dxa" w:w="3826"/>
            <w:shd w:fill="F4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Saves 4 days in the Masters layer.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4B"/>
          <w:sz w:val="30"/>
          <w:szCs w:val="30"/>
        </w:rPr>
        <w:t xml:space="preserve">13. Statement of confidence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Of the 32 management areas, eight are High confidence, fifteen are Medium and nine are Low.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Low-confidence areas — attendance, leave, the payroll engine, statutory, recruitment, contract payroll, benefits and data migration — account for approximately 40 per cent of the total development estimate.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The range of 383 to 478 development days should therefore be read as indicative and not as a commitment.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commitment-grade estimate becomes possible once three inputs are received: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1. The payroll formula sheet, or one completed payroll month with the matching payslips.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2. A data-only export of the master tables from the existing ERP.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3. Answers to the attendance and leave rule questions already recorded in the requirements decisions log.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With those three inputs the range should narrow to within approximately 15 per cent.</w:t>
      </w:r>
    </w:p>
    <w:p>
      <w:pPr>
        <w:pBdr>
          <w:bottom w:val="single" w:color="1F6F4B" w:sz="6"/>
        </w:pBdr>
        <w:spacing w:after="200" w:before="4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Prepared 25 August 2026. Supporting detail is held in the project documentation: requirements decisions log, legacy ERP schema analysis, build estimate and masters completion plan.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 HRMS — Effort Estimate and Delivery Plan</dc:title>
  <dc:creator>Suki HRMS</dc:creator>
  <cp:lastModifiedBy>Un-named</cp:lastModifiedBy>
  <cp:revision>1</cp:revision>
  <dcterms:created xsi:type="dcterms:W3CDTF">2026-08-25T12:52:11.348Z</dcterms:created>
  <dcterms:modified xsi:type="dcterms:W3CDTF">2026-08-25T12:52:11.348Z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