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300"/>
        <w:jc w:val="center"/>
      </w:pPr>
      <w:r>
        <w:rPr>
          <w:b/>
          <w:bCs/>
          <w:color w:val="666666"/>
          <w:sz w:val="22"/>
          <w:szCs w:val="22"/>
        </w:rPr>
        <w:t xml:space="preserve">SUKI SOFTWARE SOLUTIONS PVT LTD</w:t>
      </w:r>
    </w:p>
    <w:p>
      <w:pPr>
        <w:pStyle w:val="Heading2"/>
        <w:jc w:val="center"/>
      </w:pPr>
      <w:r>
        <w:t xml:space="preserve">Business Requirement Document (BRD)</w:t>
      </w:r>
    </w:p>
    <w:p>
      <w:pPr>
        <w:spacing w:after="60"/>
        <w:jc w:val="center"/>
      </w:pPr>
      <w:r>
        <w:rPr>
          <w:i/>
          <w:iCs/>
        </w:rPr>
        <w:t xml:space="preserve">Tools Management Module — Migration from ERP to Modern Web Application</w:t>
      </w:r>
    </w:p>
    <w:p>
      <w:pPr>
        <w:spacing w:after="400"/>
        <w:jc w:val="center"/>
      </w:pPr>
      <w:r>
        <w:rPr>
          <w:color w:val="666666"/>
          <w:sz w:val="18"/>
          <w:szCs w:val="18"/>
        </w:rPr>
        <w:t xml:space="preserve">Revision: v7 — schema, ERP_USER/GAUGE_TOOLS_ISSUE/EMPLOYEE DDL, live-data integrity check, full-DB cross-check, customer scope sign-off, and independent cross-company (Manpro) schema validation</w:t>
      </w:r>
    </w:p>
    <w:p>
      <w:pPr>
        <w:pStyle w:val="Heading1"/>
        <w:spacing w:after="160" w:before="360"/>
      </w:pPr>
      <w:r>
        <w:t xml:space="preserve">1. Executive Summary</w:t>
      </w:r>
    </w:p>
    <w:p>
      <w:pPr>
        <w:spacing w:after="160"/>
      </w:pPr>
      <w:r>
        <w:t xml:space="preserve">The customer has raised an urgent requirement to migrate the existing Tools Management module out of the legacy ERP system into a modern, standalone web application, without disrupting the existing ERP database or authentication model.</w:t>
      </w:r>
    </w:p>
    <w:p>
      <w:pPr>
        <w:spacing w:after="160"/>
      </w:pPr>
      <w:r>
        <w:t xml:space="preserve">This revision of the BRD replaces the earlier, partly assumed table list with the actual schema exported directly from the ERP database (ERPDb_ESSKAY), provided as script.sql. All table names, columns, data types, primary keys, and foreign key relationships in this document are taken from that script — nothing in the module mapping or field reference below is inferred or guessed. All four originally-external tables (ERP_USER, GAUGE_TOOLS_ISSUE, EMPLOYEE) have since had DDL supplied directly and are now fully documented, and two originally-guessed tables (GAUGE_SERIAL_NO, TOOLS_DETAILS) were restored via a fuller database export and confirmed in scope by the customer. As of v7, a full export from a second company (Manpro) running the same SUKI ERP product independently confirmed 27 of 29 previously-documented tables are structurally identical, and surfaced one genuine difference plus two new structural findings — see Section 17.</w:t>
      </w:r>
    </w:p>
    <w:p>
      <w:pPr>
        <w:spacing w:after="160"/>
      </w:pPr>
      <w:r>
        <w:t xml:space="preserve">This revision also goes one step further than schema structure: every column that looked like a foreign key but had no enforced constraint was individually checked against live ERPDb_ESSKAY data, to confirm whether the schema's silence on a relationship also meant the data disrespected it. The result — full detail in Section 11 — is that every such relationship is clean except one single missing supplier record, now fully traced and bounded to 3 specific rows.</w:t>
      </w:r>
    </w:p>
    <w:p>
      <w:pPr>
        <w:spacing w:after="160"/>
      </w:pPr>
      <w:r>
        <w:t xml:space="preserve">The new application will connect to the existing ERP database (ERPDb_ESSKAY) with no changes to table structures, and will authenticate users exclusively through the existing ERP SSO — there is no separate login system.</w:t>
      </w:r>
    </w:p>
    <w:p>
      <w:pPr>
        <w:pStyle w:val="Heading1"/>
        <w:spacing w:after="160" w:before="360"/>
      </w:pPr>
      <w:r>
        <w:t xml:space="preserve">2. Project Background</w:t>
      </w:r>
    </w:p>
    <w:p>
      <w:pPr>
        <w:spacing w:after="160"/>
      </w:pPr>
      <w:r>
        <w:t xml:space="preserve">The Tools Management module currently lives inside the ERP system. The original functional scope discussed with the business covered:</w:t>
      </w:r>
    </w:p>
    <w:p>
      <w:pPr>
        <w:pStyle w:val="ListParagraph"/>
        <w:numPr>
          <w:ilvl w:val="0"/>
          <w:numId w:val="1"/>
        </w:numPr>
        <w:spacing w:after="80"/>
      </w:pPr>
      <w:r>
        <w:t xml:space="preserve">Tools Group</w:t>
      </w:r>
    </w:p>
    <w:p>
      <w:pPr>
        <w:pStyle w:val="ListParagraph"/>
        <w:numPr>
          <w:ilvl w:val="0"/>
          <w:numId w:val="1"/>
        </w:numPr>
        <w:spacing w:after="80"/>
      </w:pPr>
      <w:r>
        <w:t xml:space="preserve">Tools Subgroup</w:t>
      </w:r>
    </w:p>
    <w:p>
      <w:pPr>
        <w:pStyle w:val="ListParagraph"/>
        <w:numPr>
          <w:ilvl w:val="0"/>
          <w:numId w:val="1"/>
        </w:numPr>
        <w:spacing w:after="80"/>
      </w:pPr>
      <w:r>
        <w:t xml:space="preserve">Tools Manage</w:t>
      </w:r>
    </w:p>
    <w:p>
      <w:pPr>
        <w:pStyle w:val="ListParagraph"/>
        <w:numPr>
          <w:ilvl w:val="0"/>
          <w:numId w:val="1"/>
        </w:numPr>
        <w:spacing w:after="80"/>
      </w:pPr>
      <w:r>
        <w:t xml:space="preserve">Tools Issue</w:t>
      </w:r>
    </w:p>
    <w:p>
      <w:pPr>
        <w:pStyle w:val="ListParagraph"/>
        <w:numPr>
          <w:ilvl w:val="0"/>
          <w:numId w:val="1"/>
        </w:numPr>
        <w:spacing w:after="80"/>
      </w:pPr>
      <w:r>
        <w:t xml:space="preserve">Tools Receive</w:t>
      </w:r>
    </w:p>
    <w:p>
      <w:pPr>
        <w:pStyle w:val="ListParagraph"/>
        <w:numPr>
          <w:ilvl w:val="0"/>
          <w:numId w:val="1"/>
        </w:numPr>
        <w:spacing w:after="80"/>
      </w:pPr>
      <w:r>
        <w:t xml:space="preserve">Calibration Issue and Receive</w:t>
      </w:r>
    </w:p>
    <w:p>
      <w:pPr>
        <w:pStyle w:val="ListParagraph"/>
        <w:numPr>
          <w:ilvl w:val="0"/>
          <w:numId w:val="1"/>
        </w:numPr>
        <w:spacing w:after="80"/>
      </w:pPr>
      <w:r>
        <w:t xml:space="preserve">Calibration Results Update</w:t>
      </w:r>
    </w:p>
    <w:p>
      <w:pPr>
        <w:pStyle w:val="ListParagraph"/>
        <w:numPr>
          <w:ilvl w:val="0"/>
          <w:numId w:val="1"/>
        </w:numPr>
        <w:spacing w:after="80"/>
      </w:pPr>
      <w:r>
        <w:t xml:space="preserve">Calibration Due List</w:t>
      </w:r>
    </w:p>
    <w:p>
      <w:pPr>
        <w:pStyle w:val="ListParagraph"/>
        <w:numPr>
          <w:ilvl w:val="0"/>
          <w:numId w:val="1"/>
        </w:numPr>
        <w:spacing w:after="80"/>
      </w:pPr>
      <w:r>
        <w:t xml:space="preserve">Supplier Master</w:t>
      </w:r>
    </w:p>
    <w:p>
      <w:pPr>
        <w:pStyle w:val="ListParagraph"/>
        <w:numPr>
          <w:ilvl w:val="0"/>
          <w:numId w:val="1"/>
        </w:numPr>
        <w:spacing w:after="80"/>
      </w:pPr>
      <w:r>
        <w:t xml:space="preserve">Subcontractor Master</w:t>
      </w:r>
    </w:p>
    <w:p>
      <w:pPr>
        <w:pStyle w:val="ListParagraph"/>
        <w:numPr>
          <w:ilvl w:val="0"/>
          <w:numId w:val="1"/>
        </w:numPr>
        <w:spacing w:after="80"/>
      </w:pPr>
      <w:r>
        <w:t xml:space="preserve">Tools History Card</w:t>
      </w:r>
    </w:p>
    <w:p>
      <w:pPr>
        <w:spacing w:after="160"/>
      </w:pPr>
      <w:r>
        <w:t xml:space="preserve">The actual database export (script.sql) shows a materially larger footprint than this original list: 27 tables were extracted for the Tools/Gauge domain, covering several functional areas not previously discussed — Tools Specification, Tools Price Master, Tools Consumption, Tools–Machine Mapping, Tools–Supplier Mapping, Gauge Type, Calibration Frequency Master, and two purchase-order-linked areas (Tools PO Receive and Tools PO Schedule). Section 7 documents the full, evidence-based mapping and flags every table as Matched, New (found in the schema but not previously discussed), or External (referenced but not exported).</w:t>
      </w:r>
    </w:p>
    <w:p>
      <w:pPr>
        <w:spacing w:after="160"/>
      </w:pPr>
      <w:r>
        <w:t xml:space="preserve">This BRD documents the proposed technical approach, authentication strategy, database access requirements, and full field-level reference for every table confirmed in the schema export.</w:t>
      </w:r>
    </w:p>
    <w:p>
      <w:pPr>
        <w:pStyle w:val="Heading1"/>
        <w:spacing w:after="160" w:before="360"/>
      </w:pPr>
      <w:r>
        <w:t xml:space="preserve">3. Objectives</w:t>
      </w:r>
    </w:p>
    <w:p>
      <w:pPr>
        <w:pStyle w:val="ListParagraph"/>
        <w:numPr>
          <w:ilvl w:val="0"/>
          <w:numId w:val="1"/>
        </w:numPr>
        <w:spacing w:after="80"/>
      </w:pPr>
      <w:r>
        <w:t xml:space="preserve">Rebuild the Tools Management functional scope as a modern, standalone web application, using the real ERPDb_ESSKAY schema as the single source of truth for data structure.</w:t>
      </w:r>
    </w:p>
    <w:p>
      <w:pPr>
        <w:pStyle w:val="ListParagraph"/>
        <w:numPr>
          <w:ilvl w:val="0"/>
          <w:numId w:val="1"/>
        </w:numPr>
        <w:spacing w:after="80"/>
      </w:pPr>
      <w:r>
        <w:t xml:space="preserve">Preserve the existing ERP database as-is — no schema changes unless explicitly discussed and approved with the customer.</w:t>
      </w:r>
    </w:p>
    <w:p>
      <w:pPr>
        <w:pStyle w:val="ListParagraph"/>
        <w:numPr>
          <w:ilvl w:val="0"/>
          <w:numId w:val="1"/>
        </w:numPr>
        <w:spacing w:after="80"/>
      </w:pPr>
      <w:r>
        <w:t xml:space="preserve">Authenticate users only through the existing ERP SSO — no independent login system.</w:t>
      </w:r>
    </w:p>
    <w:p>
      <w:pPr>
        <w:pStyle w:val="ListParagraph"/>
        <w:numPr>
          <w:ilvl w:val="0"/>
          <w:numId w:val="1"/>
        </w:numPr>
        <w:spacing w:after="80"/>
      </w:pPr>
      <w:r>
        <w:t xml:space="preserve">Deliver a significantly improved UI/UX and enriched reporting compared to the current ERP screens.</w:t>
      </w:r>
    </w:p>
    <w:p>
      <w:pPr>
        <w:pStyle w:val="ListParagraph"/>
        <w:numPr>
          <w:ilvl w:val="0"/>
          <w:numId w:val="1"/>
        </w:numPr>
        <w:spacing w:after="80"/>
      </w:pPr>
      <w:r>
        <w:t xml:space="preserve">Close the gap between the previously assumed 14-table scope and the actual, customer-confirmed 32-table schema (see Section 16.1 and Section 17 for the full count and its independent cross-company validation) before development starts, so nothing is built against a guessed structure.</w:t>
      </w:r>
    </w:p>
    <w:p>
      <w:pPr>
        <w:pStyle w:val="ListParagraph"/>
        <w:numPr>
          <w:ilvl w:val="0"/>
          <w:numId w:val="1"/>
        </w:numPr>
        <w:spacing w:after="80"/>
      </w:pPr>
      <w:r>
        <w:t xml:space="preserve">Enable iterative UI refinement post go-live based on user feedback.</w:t>
      </w:r>
    </w:p>
    <w:p>
      <w:pPr>
        <w:pStyle w:val="Heading1"/>
        <w:spacing w:after="160" w:before="360"/>
      </w:pPr>
      <w:r>
        <w:t xml:space="preserve">4. Proposed Technology Stack</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200"/>
        <w:gridCol w:w="3200"/>
        <w:gridCol w:w="2950"/>
      </w:tblGrid>
      <w:tr>
        <w:trPr>
          <w:tblHeader/>
        </w:trPr>
        <w:tc>
          <w:tcPr>
            <w:tcW w:type="dxa" w:w="3200"/>
            <w:shd w:fill="1F3864" w:val="clear"/>
            <w:tcMar>
              <w:top w:type="dxa" w:w="60"/>
              <w:left w:type="dxa" w:w="100"/>
              <w:bottom w:type="dxa" w:w="60"/>
              <w:right w:type="dxa" w:w="100"/>
            </w:tcMar>
            <w:vAlign w:val="center"/>
          </w:tcPr>
          <w:p>
            <w:r>
              <w:rPr>
                <w:b/>
                <w:bCs/>
                <w:i w:val="false"/>
                <w:iCs w:val="false"/>
                <w:color w:val="FFFFFF"/>
                <w:sz w:val="18"/>
                <w:szCs w:val="18"/>
              </w:rPr>
              <w:t xml:space="preserve">Layer</w:t>
            </w:r>
          </w:p>
        </w:tc>
        <w:tc>
          <w:tcPr>
            <w:tcW w:type="dxa" w:w="3200"/>
            <w:shd w:fill="1F3864" w:val="clear"/>
            <w:tcMar>
              <w:top w:type="dxa" w:w="60"/>
              <w:left w:type="dxa" w:w="100"/>
              <w:bottom w:type="dxa" w:w="60"/>
              <w:right w:type="dxa" w:w="100"/>
            </w:tcMar>
            <w:vAlign w:val="center"/>
          </w:tcPr>
          <w:p>
            <w:r>
              <w:rPr>
                <w:b/>
                <w:bCs/>
                <w:i w:val="false"/>
                <w:iCs w:val="false"/>
                <w:color w:val="FFFFFF"/>
                <w:sz w:val="18"/>
                <w:szCs w:val="18"/>
              </w:rPr>
              <w:t xml:space="preserve">Technology</w:t>
            </w:r>
          </w:p>
        </w:tc>
        <w:tc>
          <w:tcPr>
            <w:tcW w:type="dxa" w:w="2950"/>
            <w:shd w:fill="1F3864" w:val="clear"/>
            <w:tcMar>
              <w:top w:type="dxa" w:w="60"/>
              <w:left w:type="dxa" w:w="100"/>
              <w:bottom w:type="dxa" w:w="60"/>
              <w:right w:type="dxa" w:w="100"/>
            </w:tcMar>
            <w:vAlign w:val="center"/>
          </w:tcPr>
          <w:p>
            <w:r>
              <w:rPr>
                <w:b/>
                <w:bCs/>
                <w:i w:val="false"/>
                <w:iCs w:val="false"/>
                <w:color w:val="FFFFFF"/>
                <w:sz w:val="18"/>
                <w:szCs w:val="18"/>
              </w:rPr>
              <w:t xml:space="preserve">Notes</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Frontend / Full-stack framework</w:t>
            </w:r>
          </w:p>
        </w:tc>
        <w:tc>
          <w:tcPr>
            <w:tcW w:type="dxa" w:w="3200"/>
            <w:tcMar>
              <w:top w:type="dxa" w:w="60"/>
              <w:left w:type="dxa" w:w="100"/>
              <w:bottom w:type="dxa" w:w="60"/>
              <w:right w:type="dxa" w:w="100"/>
            </w:tcMar>
            <w:vAlign w:val="center"/>
          </w:tcPr>
          <w:p>
            <w:r>
              <w:rPr>
                <w:b w:val="false"/>
                <w:bCs w:val="false"/>
                <w:i w:val="false"/>
                <w:iCs w:val="false"/>
                <w:sz w:val="18"/>
                <w:szCs w:val="18"/>
              </w:rPr>
              <w:t xml:space="preserve">Next.js</w:t>
            </w:r>
          </w:p>
        </w:tc>
        <w:tc>
          <w:tcPr>
            <w:tcW w:type="dxa" w:w="2950"/>
            <w:tcMar>
              <w:top w:type="dxa" w:w="60"/>
              <w:left w:type="dxa" w:w="100"/>
              <w:bottom w:type="dxa" w:w="60"/>
              <w:right w:type="dxa" w:w="100"/>
            </w:tcMar>
            <w:vAlign w:val="center"/>
          </w:tcPr>
          <w:p>
            <w:r>
              <w:rPr>
                <w:b w:val="false"/>
                <w:bCs w:val="false"/>
                <w:i w:val="false"/>
                <w:iCs w:val="false"/>
                <w:sz w:val="18"/>
                <w:szCs w:val="18"/>
              </w:rPr>
              <w:t xml:space="preserve">React-based, server-side rendering, API routes</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ORM</w:t>
            </w:r>
          </w:p>
        </w:tc>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Prisma</w:t>
            </w:r>
          </w:p>
        </w:tc>
        <w:tc>
          <w:tcPr>
            <w:tcW w:type="dxa" w:w="2950"/>
            <w:shd w:fill="EAF0F8" w:val="clear"/>
            <w:tcMar>
              <w:top w:type="dxa" w:w="60"/>
              <w:left w:type="dxa" w:w="100"/>
              <w:bottom w:type="dxa" w:w="60"/>
              <w:right w:type="dxa" w:w="100"/>
            </w:tcMar>
            <w:vAlign w:val="center"/>
          </w:tcPr>
          <w:p>
            <w:r>
              <w:rPr>
                <w:b w:val="false"/>
                <w:bCs w:val="false"/>
                <w:i w:val="false"/>
                <w:iCs w:val="false"/>
                <w:sz w:val="18"/>
                <w:szCs w:val="18"/>
              </w:rPr>
              <w:t xml:space="preserve">Introspected directly against ERPDb_ESSKAY — schema pulled via prisma db pull, not hand-modeled</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Database</w:t>
            </w:r>
          </w:p>
        </w:tc>
        <w:tc>
          <w:tcPr>
            <w:tcW w:type="dxa" w:w="3200"/>
            <w:tcMar>
              <w:top w:type="dxa" w:w="60"/>
              <w:left w:type="dxa" w:w="100"/>
              <w:bottom w:type="dxa" w:w="60"/>
              <w:right w:type="dxa" w:w="100"/>
            </w:tcMar>
            <w:vAlign w:val="center"/>
          </w:tcPr>
          <w:p>
            <w:r>
              <w:rPr>
                <w:b w:val="false"/>
                <w:bCs w:val="false"/>
                <w:i w:val="false"/>
                <w:iCs w:val="false"/>
                <w:sz w:val="18"/>
                <w:szCs w:val="18"/>
              </w:rPr>
              <w:t xml:space="preserve">Microsoft SQL Server (MSSQL)</w:t>
            </w:r>
          </w:p>
        </w:tc>
        <w:tc>
          <w:tcPr>
            <w:tcW w:type="dxa" w:w="2950"/>
            <w:tcMar>
              <w:top w:type="dxa" w:w="60"/>
              <w:left w:type="dxa" w:w="100"/>
              <w:bottom w:type="dxa" w:w="60"/>
              <w:right w:type="dxa" w:w="100"/>
            </w:tcMar>
            <w:vAlign w:val="center"/>
          </w:tcPr>
          <w:p>
            <w:r>
              <w:rPr>
                <w:b w:val="false"/>
                <w:bCs w:val="false"/>
                <w:i w:val="false"/>
                <w:iCs w:val="false"/>
                <w:sz w:val="18"/>
                <w:szCs w:val="18"/>
              </w:rPr>
              <w:t xml:space="preserve">Existing ERPDb_ESSKAY — connects directly, no new database</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Authentication</w:t>
            </w:r>
          </w:p>
        </w:tc>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Existing ERP SSO</w:t>
            </w:r>
          </w:p>
        </w:tc>
        <w:tc>
          <w:tcPr>
            <w:tcW w:type="dxa" w:w="2950"/>
            <w:shd w:fill="EAF0F8" w:val="clear"/>
            <w:tcMar>
              <w:top w:type="dxa" w:w="60"/>
              <w:left w:type="dxa" w:w="100"/>
              <w:bottom w:type="dxa" w:w="60"/>
              <w:right w:type="dxa" w:w="100"/>
            </w:tcMar>
            <w:vAlign w:val="center"/>
          </w:tcPr>
          <w:p>
            <w:r>
              <w:rPr>
                <w:b w:val="false"/>
                <w:bCs w:val="false"/>
                <w:i w:val="false"/>
                <w:iCs w:val="false"/>
                <w:sz w:val="18"/>
                <w:szCs w:val="18"/>
              </w:rPr>
              <w:t xml:space="preserve">No independent login; session bootstrapped from ERP-issued token</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Hosting</w:t>
            </w:r>
          </w:p>
        </w:tc>
        <w:tc>
          <w:tcPr>
            <w:tcW w:type="dxa" w:w="3200"/>
            <w:tcMar>
              <w:top w:type="dxa" w:w="60"/>
              <w:left w:type="dxa" w:w="100"/>
              <w:bottom w:type="dxa" w:w="60"/>
              <w:right w:type="dxa" w:w="100"/>
            </w:tcMar>
            <w:vAlign w:val="center"/>
          </w:tcPr>
          <w:p>
            <w:r>
              <w:rPr>
                <w:b w:val="false"/>
                <w:bCs w:val="false"/>
                <w:i w:val="false"/>
                <w:iCs w:val="false"/>
                <w:sz w:val="18"/>
                <w:szCs w:val="18"/>
              </w:rPr>
              <w:t xml:space="preserve">TBD</w:t>
            </w:r>
          </w:p>
        </w:tc>
        <w:tc>
          <w:tcPr>
            <w:tcW w:type="dxa" w:w="2950"/>
            <w:tcMar>
              <w:top w:type="dxa" w:w="60"/>
              <w:left w:type="dxa" w:w="100"/>
              <w:bottom w:type="dxa" w:w="60"/>
              <w:right w:type="dxa" w:w="100"/>
            </w:tcMar>
            <w:vAlign w:val="center"/>
          </w:tcPr>
          <w:p>
            <w:r>
              <w:rPr>
                <w:b w:val="false"/>
                <w:bCs w:val="false"/>
                <w:i w:val="false"/>
                <w:iCs w:val="false"/>
                <w:sz w:val="18"/>
                <w:szCs w:val="18"/>
              </w:rPr>
              <w:t xml:space="preserve">To be confirmed with infra team</w:t>
            </w:r>
          </w:p>
        </w:tc>
      </w:tr>
    </w:tbl>
    <w:p>
      <w:pPr>
        <w:pStyle w:val="Heading1"/>
        <w:spacing w:after="160" w:before="360"/>
      </w:pPr>
      <w:r>
        <w:t xml:space="preserve">5. Authentication &amp; Access Flow</w:t>
      </w:r>
    </w:p>
    <w:p>
      <w:pPr>
        <w:spacing w:after="160"/>
      </w:pPr>
      <w:r>
        <w:t xml:space="preserve">Access to the new Tools Management application is only possible through the existing ERP login. There is no independent registration or password system.</w:t>
      </w:r>
    </w:p>
    <w:p>
      <w:pPr>
        <w:pStyle w:val="ListParagraph"/>
        <w:numPr>
          <w:ilvl w:val="0"/>
          <w:numId w:val="2"/>
        </w:numPr>
        <w:spacing w:after="80"/>
      </w:pPr>
      <w:r>
        <w:t xml:space="preserve">User logs into the existing ERP portal using their normal ERP credentials (SSO).</w:t>
      </w:r>
    </w:p>
    <w:p>
      <w:pPr>
        <w:pStyle w:val="ListParagraph"/>
        <w:numPr>
          <w:ilvl w:val="0"/>
          <w:numId w:val="2"/>
        </w:numPr>
        <w:spacing w:after="80"/>
      </w:pPr>
      <w:r>
        <w:t xml:space="preserve">ERP's authentication server validates the credentials and issues an SSO session/token.</w:t>
      </w:r>
    </w:p>
    <w:p>
      <w:pPr>
        <w:pStyle w:val="ListParagraph"/>
        <w:numPr>
          <w:ilvl w:val="0"/>
          <w:numId w:val="2"/>
        </w:numPr>
        <w:spacing w:after="80"/>
      </w:pPr>
      <w:r>
        <w:t xml:space="preserve">From within the ERP menu, the user clicks the existing “Tools Management” link.</w:t>
      </w:r>
    </w:p>
    <w:p>
      <w:pPr>
        <w:pStyle w:val="ListParagraph"/>
        <w:numPr>
          <w:ilvl w:val="0"/>
          <w:numId w:val="2"/>
        </w:numPr>
        <w:spacing w:after="80"/>
      </w:pPr>
      <w:r>
        <w:t xml:space="preserve">ERP redirects the user into the new Next.js application, passing the SSO token.</w:t>
      </w:r>
    </w:p>
    <w:p>
      <w:pPr>
        <w:pStyle w:val="ListParagraph"/>
        <w:numPr>
          <w:ilvl w:val="0"/>
          <w:numId w:val="2"/>
        </w:numPr>
        <w:spacing w:after="80"/>
      </w:pPr>
      <w:r>
        <w:t xml:space="preserve">The new application verifies the token server-side against ERP before creating a session.</w:t>
      </w:r>
    </w:p>
    <w:p>
      <w:pPr>
        <w:pStyle w:val="ListParagraph"/>
        <w:numPr>
          <w:ilvl w:val="0"/>
          <w:numId w:val="2"/>
        </w:numPr>
        <w:spacing w:after="80"/>
      </w:pPr>
      <w:r>
        <w:t xml:space="preserve">Once verified, the user's role/permissions are fetched and a local session is created.</w:t>
      </w:r>
    </w:p>
    <w:p>
      <w:pPr>
        <w:pStyle w:val="ListParagraph"/>
        <w:numPr>
          <w:ilvl w:val="0"/>
          <w:numId w:val="2"/>
        </w:numPr>
        <w:spacing w:after="80"/>
      </w:pPr>
      <w:r>
        <w:t xml:space="preserve">All subsequent data reads/writes go through Prisma ORM into the same ERPDb_ESSKAY tables ERP itself uses, including ERP_USER for identity — see Section 7 for why this table is flagged External.</w:t>
      </w:r>
    </w:p>
    <w:p>
      <w:pPr>
        <w:spacing w:after="80" w:before="16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160"/>
      </w:pPr>
      <w:r>
        <w:rPr>
          <w:i/>
          <w:iCs/>
          <w:color w:val="666666"/>
          <w:sz w:val="18"/>
          <w:szCs w:val="18"/>
        </w:rPr>
        <w:t xml:space="preserve">Figure 1: Authentication and data-access flow</w:t>
      </w:r>
    </w:p>
    <w:p>
      <w:pPr>
        <w:spacing w:after="160"/>
      </w:pPr>
      <w:r>
        <w:t xml:space="preserve">Open point: confirm what ERP exposes for token validation — an API/introspection endpoint, a shared session cookie domain, or a signed JWT — since this determines how the new app verifies the SSO token server-side.</w:t>
      </w:r>
    </w:p>
    <w:p>
      <w:pPr>
        <w:pStyle w:val="Heading1"/>
        <w:spacing w:after="160" w:before="360"/>
      </w:pPr>
      <w:r>
        <w:t xml:space="preserve">6. Database Integration Approach</w:t>
      </w:r>
    </w:p>
    <w:p>
      <w:pPr>
        <w:pStyle w:val="ListParagraph"/>
        <w:numPr>
          <w:ilvl w:val="0"/>
          <w:numId w:val="1"/>
        </w:numPr>
        <w:spacing w:after="80"/>
      </w:pPr>
      <w:r>
        <w:t xml:space="preserve">The application connects directly to the existing ERPDb_ESSKAY (MSSQL) using Prisma ORM.</w:t>
      </w:r>
    </w:p>
    <w:p>
      <w:pPr>
        <w:pStyle w:val="ListParagraph"/>
        <w:numPr>
          <w:ilvl w:val="0"/>
          <w:numId w:val="1"/>
        </w:numPr>
        <w:spacing w:after="80"/>
      </w:pPr>
      <w:r>
        <w:t xml:space="preserve">No changes will be made to existing table structures.</w:t>
      </w:r>
    </w:p>
    <w:p>
      <w:pPr>
        <w:pStyle w:val="ListParagraph"/>
        <w:numPr>
          <w:ilvl w:val="0"/>
          <w:numId w:val="1"/>
        </w:numPr>
        <w:spacing w:after="80"/>
      </w:pPr>
      <w:r>
        <w:t xml:space="preserve">The schema has already been extracted from the live database (script.sql, dated 7/21/2026) and is used directly as the basis for this BRD and for the Prisma introspection (prisma db pull) that will generate the data model — the model does not need to be guessed or hand-written.</w:t>
      </w:r>
    </w:p>
    <w:p>
      <w:pPr>
        <w:pStyle w:val="ListParagraph"/>
        <w:numPr>
          <w:ilvl w:val="0"/>
          <w:numId w:val="1"/>
        </w:numPr>
        <w:spacing w:after="80"/>
      </w:pPr>
      <w:r>
        <w:t xml:space="preserve">27 tables belonging to the Tools/Gauge domain were exported with full column, primary-key, and foreign-key detail. Three more — ERP_USER, GAUGE_TOOLS_ISSUE, and EMPLOYEE — were referenced by foreign key but missing from the original export; all three now have DDL supplied directly and are fully documented in Section 10. Two further tables — GAUGE_SERIAL_NO and TOOLS_DETAILS — were restored via a fuller database export (Section 15) and confirmed in scope by the customer (Section 16.1). Total confirmed Tools Management footprint: 32 tables.</w:t>
      </w:r>
    </w:p>
    <w:p>
      <w:pPr>
        <w:pStyle w:val="ListParagraph"/>
        <w:numPr>
          <w:ilvl w:val="0"/>
          <w:numId w:val="1"/>
        </w:numPr>
        <w:spacing w:after="80"/>
      </w:pPr>
      <w:r>
        <w:t xml:space="preserve">If any new schema/table is genuinely required for a feature (e.g. a dedicated history/audit table), it will be raised, discussed, and only added with sign-off — it will not be assumed.</w:t>
      </w:r>
    </w:p>
    <w:p>
      <w:pPr>
        <w:pStyle w:val="ListParagraph"/>
        <w:numPr>
          <w:ilvl w:val="0"/>
          <w:numId w:val="1"/>
        </w:numPr>
        <w:spacing w:after="80"/>
      </w:pPr>
      <w:r>
        <w:t xml:space="preserve">Read/write access is required on all 27 exported tables plus GAUGE_TOOLS_ISSUE (read-only on ERP_USER for identity lookups), since Tools Issue, Receive, PO Receipt, and Calibration are all transactional and update multiple linked tables per action.</w:t>
      </w:r>
    </w:p>
    <w:p>
      <w:pPr>
        <w:pStyle w:val="Heading1"/>
        <w:spacing w:after="160" w:before="360"/>
      </w:pPr>
      <w:r>
        <w:t xml:space="preserve">7. Module-to-Table Mapping</w:t>
      </w:r>
    </w:p>
    <w:p>
      <w:pPr>
        <w:spacing w:after="160"/>
      </w:pPr>
      <w:r>
        <w:t xml:space="preserve">The table below maps each functional area to its underlying ERPDb_ESSKAY table(s), as confirmed directly from script.sql. Status flags where this BRD's scope has changed relative to the original discussion:</w:t>
      </w:r>
    </w:p>
    <w:p>
      <w:pPr>
        <w:pStyle w:val="ListParagraph"/>
        <w:numPr>
          <w:ilvl w:val="0"/>
          <w:numId w:val="1"/>
        </w:numPr>
        <w:spacing w:after="80"/>
      </w:pPr>
      <w:r>
        <w:t xml:space="preserve">Matched — module and table(s) were already correctly identified.</w:t>
      </w:r>
    </w:p>
    <w:p>
      <w:pPr>
        <w:pStyle w:val="ListParagraph"/>
        <w:numPr>
          <w:ilvl w:val="0"/>
          <w:numId w:val="1"/>
        </w:numPr>
        <w:spacing w:after="80"/>
      </w:pPr>
      <w:r>
        <w:t xml:space="preserve">New — table exists in the schema but the functional area was not part of the original 11-module discussion; customer-confirmed in scope as of v6 (Section 16.1).</w:t>
      </w:r>
    </w:p>
    <w:p>
      <w:pPr>
        <w:pStyle w:val="ListParagraph"/>
        <w:numPr>
          <w:ilvl w:val="0"/>
          <w:numId w:val="1"/>
        </w:numPr>
        <w:spacing w:after="80"/>
      </w:pPr>
      <w:r>
        <w:t xml:space="preserve">External — referenced by foreign key from exported tables, structure obtained separately; all four (ERP_USER, GAUGE_TOOLS_ISSUE, EMPLOYEE) are now resolved.</w:t>
      </w:r>
    </w:p>
    <w:p>
      <w:pPr>
        <w:pStyle w:val="ListParagraph"/>
        <w:numPr>
          <w:ilvl w:val="0"/>
          <w:numId w:val="1"/>
        </w:numPr>
        <w:spacing w:after="80"/>
      </w:pPr>
      <w:r>
        <w:t xml:space="preserve">Restored — appeared to not exist based on a partial v4 export, but was found intact in a fuller v5 database export and confirmed in scope by the customer in v6.</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200"/>
        <w:gridCol w:w="4200"/>
        <w:gridCol w:w="1950"/>
      </w:tblGrid>
      <w:tr>
        <w:trPr>
          <w:tblHeader/>
        </w:trPr>
        <w:tc>
          <w:tcPr>
            <w:tcW w:type="dxa" w:w="3200"/>
            <w:shd w:fill="1F3864" w:val="clear"/>
            <w:tcMar>
              <w:top w:type="dxa" w:w="60"/>
              <w:left w:type="dxa" w:w="100"/>
              <w:bottom w:type="dxa" w:w="60"/>
              <w:right w:type="dxa" w:w="100"/>
            </w:tcMar>
            <w:vAlign w:val="center"/>
          </w:tcPr>
          <w:p>
            <w:r>
              <w:rPr>
                <w:b/>
                <w:bCs/>
                <w:i w:val="false"/>
                <w:iCs w:val="false"/>
                <w:color w:val="FFFFFF"/>
                <w:sz w:val="18"/>
                <w:szCs w:val="18"/>
              </w:rPr>
              <w:t xml:space="preserve">Module / Functional Area</w:t>
            </w:r>
          </w:p>
        </w:tc>
        <w:tc>
          <w:tcPr>
            <w:tcW w:type="dxa" w:w="4200"/>
            <w:shd w:fill="1F3864" w:val="clear"/>
            <w:tcMar>
              <w:top w:type="dxa" w:w="60"/>
              <w:left w:type="dxa" w:w="100"/>
              <w:bottom w:type="dxa" w:w="60"/>
              <w:right w:type="dxa" w:w="100"/>
            </w:tcMar>
            <w:vAlign w:val="center"/>
          </w:tcPr>
          <w:p>
            <w:r>
              <w:rPr>
                <w:b/>
                <w:bCs/>
                <w:i w:val="false"/>
                <w:iCs w:val="false"/>
                <w:color w:val="FFFFFF"/>
                <w:sz w:val="18"/>
                <w:szCs w:val="18"/>
              </w:rPr>
              <w:t xml:space="preserve">Table(s)</w:t>
            </w:r>
          </w:p>
        </w:tc>
        <w:tc>
          <w:tcPr>
            <w:tcW w:type="dxa" w:w="1950"/>
            <w:shd w:fill="1F3864" w:val="clear"/>
            <w:tcMar>
              <w:top w:type="dxa" w:w="60"/>
              <w:left w:type="dxa" w:w="100"/>
              <w:bottom w:type="dxa" w:w="60"/>
              <w:right w:type="dxa" w:w="100"/>
            </w:tcMar>
            <w:vAlign w:val="center"/>
          </w:tcPr>
          <w:p>
            <w:r>
              <w:rPr>
                <w:b/>
                <w:bCs/>
                <w:i w:val="false"/>
                <w:iCs w:val="false"/>
                <w:color w:val="FFFFFF"/>
                <w:sz w:val="18"/>
                <w:szCs w:val="18"/>
              </w:rPr>
              <w:t xml:space="preserve">Status</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Supplier Master</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SUPPLIER</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Subcontractor Master</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SUBCONTRACTOR</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 Type (lookup)</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TOOLS_TYPE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Gauge Type (lookup)</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GAUGE_TYPE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 Group</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OTHER_TOOLS_TYPE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Tools Subgroup</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QMS_OTHER_TOOLS_TYPE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 Manage (master)</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GAUGEANDTOOLS</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Tools Specification</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TOOLS_SPECIFICATION</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 Price Master</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TOOLS_PRICE_MASTER</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Tools Issue</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GAUGE_TOOLS_ISSUE (header) + TOOLS_TRANS_ISSUE (lines)</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Matched — GAUGE_TOOLS_ISSUE DDL confirmed 7/21/2026</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 Receive</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TOOLS_ISSUE_RECEIVED (header) + TOOLS_ISSUE_RECEIVED_TRANS (lines)</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Tools Consumption</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TOOLS_CONSUMPTION_TRANS_ISSUE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Tools–Machine Mapping</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TOOLS_MACHINE_TRANS</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Tools–Supplier Mapping</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TOOLS_MAPPING</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 PO Receive (GRN against PO)</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TOOLS_PO_RECEIVE (header) + TOOLS_PO_RECEIVE_TRANS (lines)</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Tools PO Schedule</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TOOLS_PO_SCH_MASTER (header) + TOOLS_PO_SCH_TRANS (lines)</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Calibration Frequency Master</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CALIBRATION_FREQUENCY_MASTER</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New</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Calibration Issue</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TOOLS_ISSUE_FOR_CALIBRATION (header) + TOOLS_TRANS_ISSUE_FOR_CALIBRATION + TOOLS_TRANS_ISSUE_FOR_CALIBRATION_OTHERS (lines)</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Calibration Receive</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TOOLS_RECEIVE_FOR_CALIBRATION (header) + TOOLS_TRANS_RECEIVE_FOR_CALIBRATION (lines)</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Matched</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Calibration Results Update / Calibration Due List / Tools History Card</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GAUGE_CONTROL_CARD (master) + GAUGE_CONTROL_CARD_TRANS (calibration history, NEXT_C_DATE)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New — likely source table, supersedes earlier “no dedicated table” assumption</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User identity (login, created-by / updated-by on every table)</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ERP_USER</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Confirmed 7/21/2026 — full DDL received, independently matched field-for-field against Manpro's copy of the same product (Section 17.1)</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Employee master (referenced by ERP_USER.EMP_CD)</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EMPLOYEE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Resolved v6 — DDL pulled, 61 columns confirmed</w:t>
            </w:r>
          </w:p>
        </w:tc>
      </w:tr>
      <w:tr>
        <w:tc>
          <w:tcPr>
            <w:tcW w:type="dxa" w:w="3200"/>
            <w:tcMar>
              <w:top w:type="dxa" w:w="60"/>
              <w:left w:type="dxa" w:w="100"/>
              <w:bottom w:type="dxa" w:w="60"/>
              <w:right w:type="dxa" w:w="100"/>
            </w:tcMar>
            <w:vAlign w:val="center"/>
          </w:tcPr>
          <w:p>
            <w:r>
              <w:rPr>
                <w:b w:val="false"/>
                <w:bCs w:val="false"/>
                <w:i w:val="false"/>
                <w:iCs w:val="false"/>
                <w:sz w:val="18"/>
                <w:szCs w:val="18"/>
              </w:rPr>
              <w:t xml:space="preserve">Tools Manage — per-unit serial</w:t>
            </w:r>
          </w:p>
        </w:tc>
        <w:tc>
          <w:tcPr>
            <w:tcW w:type="dxa" w:w="4200"/>
            <w:tcMar>
              <w:top w:type="dxa" w:w="60"/>
              <w:left w:type="dxa" w:w="100"/>
              <w:bottom w:type="dxa" w:w="60"/>
              <w:right w:type="dxa" w:w="100"/>
            </w:tcMar>
            <w:vAlign w:val="center"/>
          </w:tcPr>
          <w:p>
            <w:r>
              <w:rPr>
                <w:b w:val="false"/>
                <w:bCs w:val="false"/>
                <w:i w:val="false"/>
                <w:iCs w:val="false"/>
                <w:sz w:val="18"/>
                <w:szCs w:val="18"/>
              </w:rPr>
              <w:t xml:space="preserve">GAUGE_SERIAL_NO</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Restored v5, customer-confirmed in scope v6, full field detail added v7 — see Section 17.3/17.4 for a naming caution on its REF_NO column</w:t>
            </w:r>
          </w:p>
        </w:tc>
      </w:tr>
      <w:tr>
        <w:tc>
          <w:tcPr>
            <w:tcW w:type="dxa" w:w="3200"/>
            <w:shd w:fill="EAF0F8" w:val="clear"/>
            <w:tcMar>
              <w:top w:type="dxa" w:w="60"/>
              <w:left w:type="dxa" w:w="100"/>
              <w:bottom w:type="dxa" w:w="60"/>
              <w:right w:type="dxa" w:w="100"/>
            </w:tcMar>
            <w:vAlign w:val="center"/>
          </w:tcPr>
          <w:p>
            <w:r>
              <w:rPr>
                <w:b w:val="false"/>
                <w:bCs w:val="false"/>
                <w:i w:val="false"/>
                <w:iCs w:val="false"/>
                <w:sz w:val="18"/>
                <w:szCs w:val="18"/>
              </w:rPr>
              <w:t xml:space="preserve">Tools Manage — supporting details</w:t>
            </w:r>
          </w:p>
        </w:tc>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TOOLS_DETAILS</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Restored v5, customer-confirmed in scope v6, full field detail added v7 — has no primary key, see Section 17.5</w:t>
            </w:r>
          </w:p>
        </w:tc>
      </w:tr>
    </w:tbl>
    <w:p>
      <w:pPr>
        <w:pStyle w:val="Heading1"/>
        <w:spacing w:after="160" w:before="360"/>
      </w:pPr>
      <w:r>
        <w:t xml:space="preserve">8. System Structure — Modules and Tables</w:t>
      </w:r>
    </w:p>
    <w:p>
      <w:pPr>
        <w:spacing w:after="160"/>
      </w:pPr>
      <w:r>
        <w:t xml:space="preserve">The earlier draft included a hand-drawn diagram grouping modules over tables. With the real schema confirmed at 27 Tools/Gauge tables plus ERP_USER and GAUGE_TOOLS_ISSUE, that grouping is now represented as the structured table in Section 7 rather than a diagram, so it stays accurate as the schema is revisited — a diagram at this table count would either omit detail or become unreadable.</w:t>
      </w:r>
    </w:p>
    <w:p>
      <w:pPr>
        <w:spacing w:after="160"/>
      </w:pPr>
      <w:r>
        <w:t xml:space="preserve">Grouped by domain, the 27 exported tables break down as:</w:t>
      </w:r>
    </w:p>
    <w:p>
      <w:pPr>
        <w:pStyle w:val="ListParagraph"/>
        <w:numPr>
          <w:ilvl w:val="0"/>
          <w:numId w:val="1"/>
        </w:numPr>
        <w:spacing w:after="80"/>
      </w:pPr>
      <w:r>
        <w:t xml:space="preserve">Masters &amp; lookups (9): SUPPLIER, SUBCONTRACTOR, TOOLS_TYPE, GAUGE_TYPE, OTHER_TOOLS_TYPE, QMS_OTHER_TOOLS_TYPE, GAUGEANDTOOLS, TOOLS_SPECIFICATION, TOOLS_PRICE_MASTER</w:t>
      </w:r>
    </w:p>
    <w:p>
      <w:pPr>
        <w:pStyle w:val="ListParagraph"/>
        <w:numPr>
          <w:ilvl w:val="0"/>
          <w:numId w:val="1"/>
        </w:numPr>
        <w:spacing w:after="80"/>
      </w:pPr>
      <w:r>
        <w:t xml:space="preserve">Issue / Receive transactions (5): TOOLS_TRANS_ISSUE, TOOLS_ISSUE_RECEIVED, TOOLS_ISSUE_RECEIVED_TRANS, TOOLS_CONSUMPTION_TRANS_ISSUE, TOOLS_MACHINE_TRANS</w:t>
      </w:r>
    </w:p>
    <w:p>
      <w:pPr>
        <w:pStyle w:val="ListParagraph"/>
        <w:numPr>
          <w:ilvl w:val="0"/>
          <w:numId w:val="1"/>
        </w:numPr>
        <w:spacing w:after="80"/>
      </w:pPr>
      <w:r>
        <w:t xml:space="preserve">Supplier / PO mapping (5): TOOLS_MAPPING, TOOLS_PO_RECEIVE, TOOLS_PO_RECEIVE_TRANS, TOOLS_PO_SCH_MASTER, TOOLS_PO_SCH_TRANS</w:t>
      </w:r>
    </w:p>
    <w:p>
      <w:pPr>
        <w:pStyle w:val="ListParagraph"/>
        <w:numPr>
          <w:ilvl w:val="0"/>
          <w:numId w:val="1"/>
        </w:numPr>
        <w:spacing w:after="80"/>
      </w:pPr>
      <w:r>
        <w:t xml:space="preserve">Calibration workflow (6): CALIBRATION_FREQUENCY_MASTER, TOOLS_ISSUE_FOR_CALIBRATION, TOOLS_TRANS_ISSUE_FOR_CALIBRATION, TOOLS_TRANS_ISSUE_FOR_CALIBRATION_OTHERS, TOOLS_RECEIVE_FOR_CALIBRATION, TOOLS_TRANS_RECEIVE_FOR_CALIBRATION</w:t>
      </w:r>
    </w:p>
    <w:p>
      <w:pPr>
        <w:pStyle w:val="ListParagraph"/>
        <w:numPr>
          <w:ilvl w:val="0"/>
          <w:numId w:val="1"/>
        </w:numPr>
        <w:spacing w:after="80"/>
      </w:pPr>
      <w:r>
        <w:t xml:space="preserve">Gauge control / history (2): GAUGE_CONTROL_CARD, GAUGE_CONTROL_CARD_TRANS</w:t>
      </w:r>
    </w:p>
    <w:p>
      <w:pPr>
        <w:pStyle w:val="Heading1"/>
        <w:spacing w:after="160" w:before="360"/>
      </w:pPr>
      <w:r>
        <w:t xml:space="preserve">9. Database Access Requirements</w:t>
      </w:r>
    </w:p>
    <w:p>
      <w:pPr>
        <w:spacing w:after="160"/>
      </w:pPr>
      <w:r>
        <w:t xml:space="preserve">Please arrange the following access on ERPDb_ESSKAY for the development team:</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600"/>
        <w:gridCol w:w="3800"/>
        <w:gridCol w:w="1950"/>
      </w:tblGrid>
      <w:tr>
        <w:trPr>
          <w:tblHeader/>
        </w:trPr>
        <w:tc>
          <w:tcPr>
            <w:tcW w:type="dxa" w:w="3600"/>
            <w:shd w:fill="1F3864" w:val="clear"/>
            <w:tcMar>
              <w:top w:type="dxa" w:w="60"/>
              <w:left w:type="dxa" w:w="100"/>
              <w:bottom w:type="dxa" w:w="60"/>
              <w:right w:type="dxa" w:w="100"/>
            </w:tcMar>
            <w:vAlign w:val="center"/>
          </w:tcPr>
          <w:p>
            <w:r>
              <w:rPr>
                <w:b/>
                <w:bCs/>
                <w:i w:val="false"/>
                <w:iCs w:val="false"/>
                <w:color w:val="FFFFFF"/>
                <w:sz w:val="18"/>
                <w:szCs w:val="18"/>
              </w:rPr>
              <w:t xml:space="preserve">Table Name</w:t>
            </w:r>
          </w:p>
        </w:tc>
        <w:tc>
          <w:tcPr>
            <w:tcW w:type="dxa" w:w="3800"/>
            <w:shd w:fill="1F3864" w:val="clear"/>
            <w:tcMar>
              <w:top w:type="dxa" w:w="60"/>
              <w:left w:type="dxa" w:w="100"/>
              <w:bottom w:type="dxa" w:w="60"/>
              <w:right w:type="dxa" w:w="100"/>
            </w:tcMar>
            <w:vAlign w:val="center"/>
          </w:tcPr>
          <w:p>
            <w:r>
              <w:rPr>
                <w:b/>
                <w:bCs/>
                <w:i w:val="false"/>
                <w:iCs w:val="false"/>
                <w:color w:val="FFFFFF"/>
                <w:sz w:val="18"/>
                <w:szCs w:val="18"/>
              </w:rPr>
              <w:t xml:space="preserve">Access Needed</w:t>
            </w:r>
          </w:p>
        </w:tc>
        <w:tc>
          <w:tcPr>
            <w:tcW w:type="dxa" w:w="1950"/>
            <w:shd w:fill="1F3864" w:val="clear"/>
            <w:tcMar>
              <w:top w:type="dxa" w:w="60"/>
              <w:left w:type="dxa" w:w="100"/>
              <w:bottom w:type="dxa" w:w="60"/>
              <w:right w:type="dxa" w:w="100"/>
            </w:tcMar>
            <w:vAlign w:val="center"/>
          </w:tcPr>
          <w:p>
            <w:r>
              <w:rPr>
                <w:b/>
                <w:bCs/>
                <w:i w:val="false"/>
                <w:iCs w:val="false"/>
                <w:color w:val="FFFFFF"/>
                <w:sz w:val="18"/>
                <w:szCs w:val="18"/>
              </w:rPr>
              <w:t xml:space="preserve">Category</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CALIBRATION_FREQUENCY_MASTER</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EMPLOYEE</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ERP_USER</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GAUGEANDTOOLS</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GAUGE_CONTROL_CARD</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GAUGE_CONTROL_CARD_TRANS</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GAUGE_SERIAL_NO</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GAUGE_TOOLS_ISSUE</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GAUGE_TYPE</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OTHER_TOOLS_TYPE</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QMS_OTHER_TOOLS_TYPE</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SUBCONTRACTOR</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SUPPLIER</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TOOLS_CONSUMPTION_TRANS_ISSUE</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TOOLS_DETAILS</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TOOLS_ISSUE_FOR_CALIBRATION</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TOOLS_ISSUE_RECEIVED</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TOOLS_ISSUE_RECEIVED_TRANS</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TOOLS_MACHINE_TRANS</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TOOLS_MAPPING</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TOOLS_PO_RECEIVE</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TOOLS_PO_RECEIVE_TRANS</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TOOLS_PO_SCH_MASTER</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TOOLS_PO_SCH_TRANS</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TOOLS_PRICE_MASTER</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TOOLS_RECEIVE_FOR_CALIBRATION</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TOOLS_SPECIFICATION</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TOOLS_TRANS_ISSUE</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TOOLS_TRANS_ISSUE_FOR_CALIBRATION</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TOOLS_TRANS_ISSUE_FOR_CALIBRATION_OTHERS</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TOOLS_TRANS_RECEIVE_FOR_CALIBRATION</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Transaction</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TOOLS_TYPE</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Master</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ERP_USER</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only (identity lookup) — never write PASS</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External / Master — DDL confirmed</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GAUGE_TOOLS_ISSUE</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External / Transaction header — DDL confirmed</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EMPLOYEE</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only</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External / Master — DDL confirmed v6</w:t>
            </w:r>
          </w:p>
        </w:tc>
      </w:tr>
      <w:tr>
        <w:tc>
          <w:tcPr>
            <w:tcW w:type="dxa" w:w="3600"/>
            <w:shd w:fill="EAF0F8" w:val="clear"/>
            <w:tcMar>
              <w:top w:type="dxa" w:w="60"/>
              <w:left w:type="dxa" w:w="100"/>
              <w:bottom w:type="dxa" w:w="60"/>
              <w:right w:type="dxa" w:w="100"/>
            </w:tcMar>
            <w:vAlign w:val="center"/>
          </w:tcPr>
          <w:p>
            <w:r>
              <w:rPr>
                <w:b w:val="false"/>
                <w:bCs w:val="false"/>
                <w:i w:val="false"/>
                <w:iCs w:val="false"/>
                <w:sz w:val="18"/>
                <w:szCs w:val="18"/>
              </w:rPr>
              <w:t xml:space="preserve">GAUGE_SERIAL_NO</w:t>
            </w:r>
          </w:p>
        </w:tc>
        <w:tc>
          <w:tcPr>
            <w:tcW w:type="dxa" w:w="3800"/>
            <w:shd w:fill="EAF0F8" w:val="clear"/>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shd w:fill="EAF0F8" w:val="clear"/>
            <w:tcMar>
              <w:top w:type="dxa" w:w="60"/>
              <w:left w:type="dxa" w:w="100"/>
              <w:bottom w:type="dxa" w:w="60"/>
              <w:right w:type="dxa" w:w="100"/>
            </w:tcMar>
            <w:vAlign w:val="center"/>
          </w:tcPr>
          <w:p>
            <w:r>
              <w:rPr>
                <w:b w:val="false"/>
                <w:bCs w:val="false"/>
                <w:i w:val="false"/>
                <w:iCs w:val="false"/>
                <w:sz w:val="18"/>
                <w:szCs w:val="18"/>
              </w:rPr>
              <w:t xml:space="preserve">Master — restored v5, in scope v6</w:t>
            </w:r>
          </w:p>
        </w:tc>
      </w:tr>
      <w:tr>
        <w:tc>
          <w:tcPr>
            <w:tcW w:type="dxa" w:w="3600"/>
            <w:tcMar>
              <w:top w:type="dxa" w:w="60"/>
              <w:left w:type="dxa" w:w="100"/>
              <w:bottom w:type="dxa" w:w="60"/>
              <w:right w:type="dxa" w:w="100"/>
            </w:tcMar>
            <w:vAlign w:val="center"/>
          </w:tcPr>
          <w:p>
            <w:r>
              <w:rPr>
                <w:b w:val="false"/>
                <w:bCs w:val="false"/>
                <w:i w:val="false"/>
                <w:iCs w:val="false"/>
                <w:sz w:val="18"/>
                <w:szCs w:val="18"/>
              </w:rPr>
              <w:t xml:space="preserve">TOOLS_DETAILS</w:t>
            </w:r>
          </w:p>
        </w:tc>
        <w:tc>
          <w:tcPr>
            <w:tcW w:type="dxa" w:w="3800"/>
            <w:tcMar>
              <w:top w:type="dxa" w:w="60"/>
              <w:left w:type="dxa" w:w="100"/>
              <w:bottom w:type="dxa" w:w="60"/>
              <w:right w:type="dxa" w:w="100"/>
            </w:tcMar>
            <w:vAlign w:val="center"/>
          </w:tcPr>
          <w:p>
            <w:r>
              <w:rPr>
                <w:b w:val="false"/>
                <w:bCs w:val="false"/>
                <w:i w:val="false"/>
                <w:iCs w:val="false"/>
                <w:sz w:val="18"/>
                <w:szCs w:val="18"/>
              </w:rPr>
              <w:t xml:space="preserve">Read / Write</w:t>
            </w:r>
          </w:p>
        </w:tc>
        <w:tc>
          <w:tcPr>
            <w:tcW w:type="dxa" w:w="1950"/>
            <w:tcMar>
              <w:top w:type="dxa" w:w="60"/>
              <w:left w:type="dxa" w:w="100"/>
              <w:bottom w:type="dxa" w:w="60"/>
              <w:right w:type="dxa" w:w="100"/>
            </w:tcMar>
            <w:vAlign w:val="center"/>
          </w:tcPr>
          <w:p>
            <w:r>
              <w:rPr>
                <w:b w:val="false"/>
                <w:bCs w:val="false"/>
                <w:i w:val="false"/>
                <w:iCs w:val="false"/>
                <w:sz w:val="18"/>
                <w:szCs w:val="18"/>
              </w:rPr>
              <w:t xml:space="preserve">Master — restored v5, in scope v6; no primary key, see Section 17.5</w:t>
            </w:r>
          </w:p>
        </w:tc>
      </w:tr>
    </w:tbl>
    <w:p>
      <w:pPr>
        <w:pStyle w:val="Heading1"/>
        <w:spacing w:after="160" w:before="360"/>
      </w:pPr>
      <w:r>
        <w:t xml:space="preserve">10. Detailed Field Reference (Appendix)</w:t>
      </w:r>
    </w:p>
    <w:p>
      <w:pPr>
        <w:spacing w:after="160"/>
      </w:pPr>
      <w:r>
        <w:t xml:space="preserve">Full field-level reference for every table confirmed in script.sql. Data types, lengths, nullability, primary keys, and foreign keys are taken directly from the CREATE TABLE and ALTER TABLE ... FOREIGN KEY statements in that export — none of this is inferred.</w:t>
      </w:r>
    </w:p>
    <w:p>
      <w:pPr>
        <w:spacing w:after="60" w:before="280"/>
      </w:pPr>
      <w:r>
        <w:rPr>
          <w:b/>
          <w:bCs/>
          <w:color w:val="1F3864"/>
          <w:sz w:val="22"/>
          <w:szCs w:val="22"/>
        </w:rPr>
        <w:t xml:space="preserve">SUPPLIER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SUP_CODE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VENDOR_CD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SHORTNAME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ADD1</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varchar(200)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ADD2</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varchar(200)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CITY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varchar(80)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COUNTRY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PINCODE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PHONE1</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PHONE2</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MOBILE_NO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REG_NO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CST_NO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EMAIL_ID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WEB_SITE_URL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CONT_PERSON1</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CONT_PERSON2</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COMMENTS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TRANSPORT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ECC_NO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VAT_NO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VAT_DATE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SUP_INV_NO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SUP_INV_DATE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TAX_CODE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SRC_COLOR_CD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KIND_ATTN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SUP_NAME_FOR_AC</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CUSTOM_DIVISON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CST_EXCEPTION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PAN_NO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TYPE_OF_PURCHASE1</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TYPE_OF_PURCHASE2</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EMAIL_ID2</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TIN_NO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TIN_DATE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ECC_DATE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CST_DATE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REG_DATE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GSTIN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SGST_PER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STATE_CD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COMPANY_ID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BANK_NAME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BRANCH_NAME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ACCOUNT_NUMBER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ACCOUNT_PAYEE_NAME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IFSC_CODE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UDHYOG_AADHAAR_NO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CURRENCY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nvarchar(8)</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MATERIAL_FORM</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SUPPLIER_TYPE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ISO_NO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ISO_EXP_DATE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PAYMENT_LEAD_TIME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FREE_VALIDATION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DQ_MAIL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DUE_DATE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LOCATION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TDS_APPLICABLE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REG_SUPPLIER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PAY_TERMS_DAYS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IS_PRIME_SUP</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APPROVED_SUPPLIER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SUP_FEEDBACK_STATUS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SUP_CATEGORY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NDA_REQUIRED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SUP_COMP_ID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FREIGHT_REQUIRED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SCOPE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APPROVED_BY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APPROVER_CD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TYPE_OF_SERVICE_PROVIDED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TERMS_AND_CONDITION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nvarchar(max)</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TDS_CLASS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IS_AUDITOR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WEIGHMENT_MANDATORY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LEDGER_POSTING_CODE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MAIL_DOMAIN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PAYMENT_TERMS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DELIVERY_TERMS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MODE_OF_DESPATCH</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SUBCONTRACTOR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SUB_CON_ID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VENDOR_CD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SHORTNAME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SUB_NAME_FOR_AC</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ADD1</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nvarchar(75)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ADD2</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CITY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nvarchar(40)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COUNTRY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PINCODE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PHONE1</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PHONE2</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FAX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MOBILE_NO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REG_NO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CST_NO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EMAIL_ID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WEB_SITE_URL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CONT_PERSON1</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CONT_PERSON2</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COMMENTS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NATURE_OF_WORK</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IS_STORE_VENDOR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IS_INHOUSE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IS_ISSUE_DC</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TIN_NO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TIN_DATE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CUSTOM_DIVISON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ECC_DATE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CST_DATE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VAT_NO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VAT_DATE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CST_EXCEPTION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MOBILE_NO2</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ECC_NO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REG_DATE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GSTIN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PAN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STATE_CD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COMPANY_ID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IS_SUB_CON_PROCESS_RPT_DISP</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BANK_NAME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BRANCH_NAME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ACCOUNT_NUMBER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ACCOUNT_PAYEE_NAME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IFSC_CODE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UDHYOG_AADHAAR_NO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ACCOUNT_TYPE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ISO_NO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ISO_EXP_DATE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DUE_DATE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DQ_MAIL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LAST_UPDATE_DATE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TDS_APPLICABLE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REG_SUB_CON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numeric(13,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SGST_PER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numeric(13,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numeric(13,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PAY_TERMS_DAYS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APPROVED_SUBCONTRACTOR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SUB_CON_FEEDBACK_STATUS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SUB_CATEGORY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SUB_COMP_ID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CHILD_PRODUCTION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TYPE_OF_SERVICE_PROVIDED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TDS_CLASS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WEIGHMENT_MANDATORY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TDS_PERCENTAGE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LEDGER_POSTING_CODE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TERMS_AND_CONDITION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nvarchar(max)</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INV_REQ</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TOOLS_TYPE</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TYPE_OF_TOOLS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ITEM_GROUP_ID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ITEM_TYPE_ID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IS_AUTO_GEN_CD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PREFIX_ITEM_NO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GAUGE_TYPE</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TYPE_OF_GAUGE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OTHER_TOOLS_TYPE</w:t>
      </w:r>
    </w:p>
    <w:p>
      <w:pPr>
        <w:spacing w:after="160"/>
      </w:pPr>
      <w:r>
        <w:rPr>
          <w:i/>
          <w:iCs/>
          <w:color w:val="666666"/>
          <w:sz w:val="18"/>
          <w:szCs w:val="18"/>
        </w:rPr>
        <w:t xml:space="preserve">Tools Group</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OTHER_TYPE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SERIAL_NO_GEN_REQ</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PO_PREFIX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INDENT_PREFIX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GRN_PREFIX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PREFIX_TOOLS_NO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ITEM__NO_PREFIX_MOD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PREFIX_GATE_ENTRY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QMS_OTHER_TOOLS_TYPE</w:t>
      </w:r>
    </w:p>
    <w:p>
      <w:pPr>
        <w:spacing w:after="160"/>
      </w:pPr>
      <w:r>
        <w:rPr>
          <w:i/>
          <w:iCs/>
          <w:color w:val="666666"/>
          <w:sz w:val="18"/>
          <w:szCs w:val="18"/>
        </w:rPr>
        <w:t xml:space="preserve">Tools Subgroup</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QMS_OTHER_TYPE_OF_TOOLS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REF_GROUP_ID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PREFIX_TOOLS_NO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IS_AUTO_GEN_CD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PREFIX_BASED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ASSET_CATEGORY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GAUGEANDTOOLS</w:t>
      </w:r>
    </w:p>
    <w:p>
      <w:pPr>
        <w:spacing w:after="160"/>
      </w:pPr>
      <w:r>
        <w:rPr>
          <w:i/>
          <w:iCs/>
          <w:color w:val="666666"/>
          <w:sz w:val="18"/>
          <w:szCs w:val="18"/>
        </w:rPr>
        <w:t xml:space="preserve">Tools Manage — master (99 fields)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GROUPING</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DES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SHAPE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GOSIZE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NOGOSIZE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TOT_QTY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QTY_IN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QTY_OUT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QTY_NEW</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QTY_IN_USE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QTY_OUT_USE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PRICE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LOCATION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ISNOTINUSE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PURPOSE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PARTY_NAME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BOX_NO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ALT_BOX_NO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INSERT_OPEN_BAL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INSERT_USED_BAL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INSERT_CLOSE_BAL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DEPT_NAME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IS_CUST_GIVEN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RANGE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CALIBRATION_FRQ_MONTHS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CALI_PLANNED_WHO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SERIAL_NO_GEN_REQ</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UOM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RETURNABLE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PREVENTIVE_METHOD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PREVENTIVE_FRQ_MONTHS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CALIBRATION_RESPONSIBILITY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HISTORY_CARD_REQ</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PO_REQ</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CRITICAL_ITEM</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ACTIVE_ITEM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DETAILED_SPEC</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MIN_ORDER_LEVEL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PREVENTIVE_FRQ_OTHERS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IS_ASSET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PROD_CODE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COMPANY_ID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DRAWING_DIMENSION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RPM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CYCLE_TIME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COLLET_SIZE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SLIDE_NAME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CAM_DEGREE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CAM_RAISE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CAM_TOOLS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LEAST_COUNT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G_SPEC_UPPER_MIN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G_SPEC_UPPER_MAX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W_LIMIT_LOWER_MAX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W_LIMIT_UPPER_MIN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W_LIMIT_UPPER_MAX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PROD_SPEC_LOWER_MAX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PROD_SPEC_UPPER_MIN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PROD_SPEC_UPPER_MAX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HSN_CODE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MAC_CODE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REF_DETAILS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PACKING_LENGTH</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PACKING_WIDTH</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PACKING_HEIGHT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LEAD_TIME_DAYS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ACCEPTANCE_CRITERIA</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MODEL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SALEABLE_ITEM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OLD_ITEM_NO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LOCATION_OUTPUT_NAME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LOCATION_NAME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RACK</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AREA</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PACKING_DIMENSIONS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DRAWING_NO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REV_NO_DT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NOC_REQ</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MACHINE_SOFTWARE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STIFFNESS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STOCK_REQ</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SELF_LIFE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STOCK_ITEM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INELIGIBLE_FOR_ITC</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GAUGE_SERIAL_NO</w:t>
      </w:r>
    </w:p>
    <w:p>
      <w:pPr>
        <w:spacing w:after="160"/>
      </w:pPr>
      <w:r>
        <w:rPr>
          <w:i/>
          <w:iCs/>
          <w:color w:val="666666"/>
          <w:sz w:val="18"/>
          <w:szCs w:val="18"/>
        </w:rPr>
        <w:t xml:space="preserve">Tools Manage — per-unit serial tracking. Restored in v5, full field detail added in v7 (see Section 17.3 for the REF_NO naming trap).</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 this table's own row identity. NOT the same as GAUGEANDTOOLS.REF_NO despite identical name — see naming-trap warning below.</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TOT_QTY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numeric(5, 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SERIAL_NO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gir_no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Reference-like, links to TOOLS_PO_RECEIVE.GIR_NO — lowercase in source DDL, unlike every other GIR_NO column in the schema.</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CALI_RESULTS_FILE_NAME_SLNO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NXT_PRE_DATE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NXT_PRE_DONE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CURRENT_STATUS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Reference-like — this is the actual link to GAUGEANDTOOLS.REF_NO, not REF_NO above. No enforced FK; orphan-check not yet run.</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MAKE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TOOLS_DETAILS</w:t>
      </w:r>
    </w:p>
    <w:p>
      <w:pPr>
        <w:spacing w:after="160"/>
      </w:pPr>
      <w:r>
        <w:rPr>
          <w:i/>
          <w:iCs/>
          <w:color w:val="666666"/>
          <w:sz w:val="18"/>
          <w:szCs w:val="18"/>
        </w:rPr>
        <w:t xml:space="preserve">Tools Manage — supporting specification detail (cavity count, tool life, hardness). Restored in v5, full field detail added in v7. No primary key defined — see Section 17.5.</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Reference-like — link to GAUGEANDTOOLS.REF_NO. No enforced FK; orphan-check not yet run.</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NO_OF_CAVITY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RUNNING_CAVITY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TOOL_LIFE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BALANCE_TOOL_LIFE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RUNNING_TOOL_LIFE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SERVICE_TOOL_LIFE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HARDNESS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SHRINKAGE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COMPOUND_CODE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DRAWING_NO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RUNNING_SERVICE_LIFE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TOOLS_SPECIFICATION</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SEQUENCE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PARAMETER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SPECIFICATION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MIN_RANGE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MAX_RANGE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W_LIMIT_LOWER_MIN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W_LIMIT_LOWER_MAX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W_LIMIT_UPPER_MIN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W_LIMIT_UPPER_MAX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PROD_SPEC_LOWER_MIN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PROD_SPEC_LOWER_MAX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SPEC_TYPE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SHRINKAGE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CHECKING_AID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TOOLS_PRICE_MASTER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REV_NO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REV_DATE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REV_STATUS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APPROVAL_STATUS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APPROVAL_DATE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CURRENCY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COMPANY_ID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TOOL_MAP_REF_NO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VENDOR_TYPE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SUB_CODE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GAUGE_TOOLS_ISSUE</w:t>
      </w:r>
    </w:p>
    <w:p>
      <w:pPr>
        <w:spacing w:after="160"/>
      </w:pPr>
      <w:r>
        <w:rPr>
          <w:i/>
          <w:iCs/>
          <w:color w:val="666666"/>
          <w:sz w:val="18"/>
          <w:szCs w:val="18"/>
        </w:rPr>
        <w:t xml:space="preserve">Tools Issue — header. DDL supplied separately by the DBA on 7/21/2026 and confirmed consistent with the FK from TOOLS_ISSUE_RECEIVED.DC_NO.</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DUE_DATE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ITEM_TYPE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RECEIVE_NAME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Reference-like, no enforced FK to SUBCONTRACTOR</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SUP_CODE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Reference-like, no enforced FK to SUPPLIER</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EMP_ID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ISSUE_OPTION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SGST_VALUE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SGST_PER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ISSUE_PURPOSE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Approximate_value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CUST_CODE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TRANSPORT_NAME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VEHICLE_NO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RETURNABLE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RECEIVE_NAME_TWO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LOB_TYPE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FROM_UNIT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PO_ORDER_NO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START_DT_TIME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COMMENTS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MAT_TYPE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REQUESTED_BY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TOOLS_TRANS_ISSUE</w:t>
      </w:r>
    </w:p>
    <w:p>
      <w:pPr>
        <w:spacing w:after="160"/>
      </w:pPr>
      <w:r>
        <w:rPr>
          <w:i/>
          <w:iCs/>
          <w:color w:val="666666"/>
          <w:sz w:val="18"/>
          <w:szCs w:val="18"/>
        </w:rPr>
        <w:t xml:space="preserve">Tools Issue — line items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ISSUE_QTY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SERIAL_NO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DESCRIPTION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NAME_OF_THE_PROCESS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MACHINE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PART_NO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DUE_DATE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NEXT_CALIBRATION_DATE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RETURNABLE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UOM</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GROUP_NAME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ISSUE_TO_ITEM_NO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REC_COMMENTS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NETT_WEIGHT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GROSS_WEIGHT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NO_OF_PKGS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PRICE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AMOUNT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ISSUE_EMP_NAME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CARD_NO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ISSUE_TO_SERIAL_NO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ISSUE_DEPT_NAME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YOUR_DC_REF_NO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PARTY_DC_NO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PO_ORDER_NO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BATCH_CODE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PARTY_DC_DATE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TOOLS_ISSUE_RECEIVED</w:t>
      </w:r>
    </w:p>
    <w:p>
      <w:pPr>
        <w:spacing w:after="160"/>
      </w:pPr>
      <w:r>
        <w:rPr>
          <w:i/>
          <w:iCs/>
          <w:color w:val="666666"/>
          <w:sz w:val="18"/>
          <w:szCs w:val="18"/>
        </w:rPr>
        <w:t xml:space="preserve">Tools Receive — header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GAUGE_TOOLS_ISSUE.DC_NO</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RECEIVE_DATE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PARTY_DC_NO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SUB_CODE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CONT_NAME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nvarchar(80)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GE_NO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VENDOR_TYPE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INVOICE_NO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PO_ORDER_NO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START_DT_TIME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LOCATION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TOOLS_ISSUE_RECEIVED_TRANS</w:t>
      </w:r>
    </w:p>
    <w:p>
      <w:pPr>
        <w:spacing w:after="160"/>
      </w:pPr>
      <w:r>
        <w:rPr>
          <w:i/>
          <w:iCs/>
          <w:color w:val="666666"/>
          <w:sz w:val="18"/>
          <w:szCs w:val="18"/>
        </w:rPr>
        <w:t xml:space="preserve">Tools Receive — line items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TOOLS_ISSUE_RECEIVED.REC_NO</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SERIAL_NO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COMMENTS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QUANTITY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GATE_ITEM_NO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TOOL_ISS_REF_NO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TOOLS_CONSUMPTION_TRANS_ISSUE</w:t>
      </w:r>
    </w:p>
    <w:p>
      <w:pPr>
        <w:spacing w:after="160"/>
      </w:pPr>
      <w:r>
        <w:rPr>
          <w:i/>
          <w:iCs/>
          <w:color w:val="666666"/>
          <w:sz w:val="18"/>
          <w:szCs w:val="18"/>
        </w:rPr>
        <w:t xml:space="preserve">Tools Consumption</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WORK_SHEET_REF_NO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SERIAL_NO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QTY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USAGE_STATUS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VERIFIED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UPDATED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TOOLS_MACHINE_TRANS</w:t>
      </w:r>
    </w:p>
    <w:p>
      <w:pPr>
        <w:spacing w:after="160"/>
      </w:pPr>
      <w:r>
        <w:rPr>
          <w:i/>
          <w:iCs/>
          <w:color w:val="666666"/>
          <w:sz w:val="18"/>
          <w:szCs w:val="18"/>
        </w:rPr>
        <w:t xml:space="preserve">Tools–Machine Mapping</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GAUGEANDTOOLS.REF_NO</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MAC_CODE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TOOLS_MAPPING</w:t>
      </w:r>
    </w:p>
    <w:p>
      <w:pPr>
        <w:spacing w:after="160"/>
      </w:pPr>
      <w:r>
        <w:rPr>
          <w:i/>
          <w:iCs/>
          <w:color w:val="666666"/>
          <w:sz w:val="18"/>
          <w:szCs w:val="18"/>
        </w:rPr>
        <w:t xml:space="preserve">Tools–Supplier Mapping</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COMPANY_ID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VENDOR_TYPE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TOOLS_PO_RECEIVE</w:t>
      </w:r>
    </w:p>
    <w:p>
      <w:pPr>
        <w:spacing w:after="160"/>
      </w:pPr>
      <w:r>
        <w:rPr>
          <w:i/>
          <w:iCs/>
          <w:color w:val="666666"/>
          <w:sz w:val="18"/>
          <w:szCs w:val="18"/>
        </w:rPr>
        <w:t xml:space="preserve">Tools PO Receive — header (87 fields)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GIR_NO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GIR_NO_NEW</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GIR_DATE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PO_ORDER_NO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nvarchar(16)</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SUP_CODE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INV_DATE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INVOICE_NO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GIR_STATUS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ED_PER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ED_VALUE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CESS_PER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CESS_VALUE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EX_CESS_VALUE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FREIGHT_VALUE_BEFORE_TAX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FREIGHT_VALUE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PUR_VALUE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VAT_VALUE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INV_AMT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OTHERS_CHARGES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EX_CESS_PER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VAT_PER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GRAND_TOTAL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SUB_TOTAL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GRAND_TOTAL_DEBIT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MAT_COST_INCLUSIVE_OF_ED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TRADER_INVOICE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MAKE_DETAILS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PAYMENT_MODE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EMP_NAME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SGST_VALUE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SGST_PER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GATE_ENTRY_NO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GATE_ENTRY_DATE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DC_DATE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PACKING_CHARGES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OTHER_PROCESS_COST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PACKING_CHARGES_AFTER_TAX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APPROVAL_STATUS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APPROVAL_COMMENTS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VEHICLE_NO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FREIGHT_TYPE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CUST_CODE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FROM_WHERE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POST_AMT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FINANCE_POSTING_STATUS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POST_REF_NO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POST_REF_DT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DUE_DATE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START_DT_TIME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LOCATION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GIR_BASED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EXP_LEDGER_CODE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TCS_PER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TCS_VALUE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numeric(14,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EXCHANGE_RATE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CURRENCY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nvarchar(4)</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TDS_AVAIL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TDS_PER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TDS_VALUE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ROUND_OFF</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FINANCE_POSTING_REMARKS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POSTED_BY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RECIEVER_NAME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DEPT_NO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TDS_AFTER_TAX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FRIGHT_CGST_PER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FRIGHT_SGST_PER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FRIGHT_IGST_PER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PACKING_CGST_PER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PACKING_SGST_PER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PACKING_IGST_PER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TDS_BASED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TOOLS_PO_RECEIVE_TRANS</w:t>
      </w:r>
    </w:p>
    <w:p>
      <w:pPr>
        <w:spacing w:after="160"/>
      </w:pPr>
      <w:r>
        <w:rPr>
          <w:i/>
          <w:iCs/>
          <w:color w:val="666666"/>
          <w:sz w:val="18"/>
          <w:szCs w:val="18"/>
        </w:rPr>
        <w:t xml:space="preserve">Tools PO Receive — line items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GIR_NO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TOOLS_PO_RECEIVE.GIR_NO</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ORDER_REF_ITEM</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ITEM_CODE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ITEM_TYPE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QTY_ORDER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INV_QTY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REC_QTY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ACC_STATUS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SHORT_QTY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PRICE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DIS_PER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TEST_CERTIFICATE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TC_SOURCE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UOM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DC_DATE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DETAILS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HSN_CODE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MAKE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GATE_ITEM_NO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REJ_INV_NO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REJ_INV_QTY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ACC_QTY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REJ_QTY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MFG_SERIAL_NO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IGST_PER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EXP_LEDGER_CODE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FILE_NAME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EXPIRY_DATE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STOCK_ITEM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CLEARANCE_NO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DOCUMENT_VERIFIED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SHELF_LIFE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APPEARANCE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ACTUAL_RECEIVED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ACCEPTED_BY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GRADE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TOOLS_PO_SCH_MASTER</w:t>
      </w:r>
    </w:p>
    <w:p>
      <w:pPr>
        <w:spacing w:after="160"/>
      </w:pPr>
      <w:r>
        <w:rPr>
          <w:i/>
          <w:iCs/>
          <w:color w:val="666666"/>
          <w:sz w:val="18"/>
          <w:szCs w:val="18"/>
        </w:rPr>
        <w:t xml:space="preserve">Tools PO Schedule — header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SCH_DATE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PO_ORDER_NO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bl>
    <w:p>
      <w:pPr>
        <w:spacing w:after="120"/>
      </w:pPr>
    </w:p>
    <w:p>
      <w:pPr>
        <w:spacing w:after="60" w:before="280"/>
      </w:pPr>
      <w:r>
        <w:rPr>
          <w:b/>
          <w:bCs/>
          <w:color w:val="1F3864"/>
          <w:sz w:val="22"/>
          <w:szCs w:val="22"/>
        </w:rPr>
        <w:t xml:space="preserve">TOOLS_PO_SCH_TRANS</w:t>
      </w:r>
    </w:p>
    <w:p>
      <w:pPr>
        <w:spacing w:after="160"/>
      </w:pPr>
      <w:r>
        <w:rPr>
          <w:i/>
          <w:iCs/>
          <w:color w:val="666666"/>
          <w:sz w:val="18"/>
          <w:szCs w:val="18"/>
        </w:rPr>
        <w:t xml:space="preserve">Tools PO Schedule — line items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PO_TRANS_NO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QTY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SCH_STATUS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ASN_STATUS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COMMENTS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CALIBRATION_FREQUENCY_MASTER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PROD_TOLERANCE_MIN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PROD_TOLERANCE_MAX</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CALIB_FREQUENCY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TOOLS_ISSUE_FOR_CALIBRATION</w:t>
      </w:r>
    </w:p>
    <w:p>
      <w:pPr>
        <w:spacing w:after="160"/>
      </w:pPr>
      <w:r>
        <w:rPr>
          <w:i/>
          <w:iCs/>
          <w:color w:val="666666"/>
          <w:sz w:val="18"/>
          <w:szCs w:val="18"/>
        </w:rPr>
        <w:t xml:space="preserve">Calibration Issue — header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ISSUE_DATE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RECEIVE_NAME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ISSUE_FOR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START_DT_TIME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TOOLS_PO_NO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TOOLS_TRANS_ISSUE_FOR_CALIBRATION</w:t>
      </w:r>
    </w:p>
    <w:p>
      <w:pPr>
        <w:spacing w:after="160"/>
      </w:pPr>
      <w:r>
        <w:rPr>
          <w:i/>
          <w:iCs/>
          <w:color w:val="666666"/>
          <w:sz w:val="18"/>
          <w:szCs w:val="18"/>
        </w:rPr>
        <w:t xml:space="preserve">Calibration Issue — line items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FK -&gt; TOOLS_TRANS_ISSUE_FOR_CALIBRATION.ROW_ID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TOOLS_ISSUE_FOR_CALIBRATION.DC_NO</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GROUPING</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ISSUE_QTY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SERIAL_NO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DUE_DATE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CALIB_DUE_DATE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CALIBRATION_STATUS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NXT_CALIB_DATE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RESULT_STATUS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CALIB_RESULT_COMMENTS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CALIBRATED_BY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CALIBRATED_DATE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CALI_RESULTS_FILE_NAME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PREVENTIVE_DATE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PREVENTIVE_DONE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PREVENTIVE_DUE_DATE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NXT_PREVENTIVE_DATE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PREVENTIVE_DONE_DUE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NXT_PREVENTIVE_DONE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PREVENTIVE_DUE_DAT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VISUAL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FUNCTIONAL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MISSING_OF_PARTS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GO_SIZE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NO_GO_SIZE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G_SPEC_UPPER_MIN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G_SPEC_UPPER_MAX</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CERTIFICATE_NO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nvarchar(70)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REFERENCE_STAND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ERROR_NOTICE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MASTER_INSTRUMENT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TOOLS_TRANS_ISSUE_FOR_CALIBRATION_OTHERS</w:t>
      </w:r>
    </w:p>
    <w:p>
      <w:pPr>
        <w:spacing w:after="160"/>
      </w:pPr>
      <w:r>
        <w:rPr>
          <w:i/>
          <w:iCs/>
          <w:color w:val="666666"/>
          <w:sz w:val="18"/>
          <w:szCs w:val="18"/>
        </w:rPr>
        <w:t xml:space="preserve">Calibration Issue — line items (others)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TOOLS_TRANS_REF_NO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SLIP_SIZE_REF_NO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CALIBRATED_DATE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ACTUALS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BLADE_ACTUAL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BLADE_VARIANCE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TIP_ACTUAL</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TIP_VARIANCE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TOOLS_SPEC_REF_NO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OBS_MIN_RANGE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OBS_MAX_RANGE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numeric(12, 4)</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TOOLS_RECEIVE_FOR_CALIBRATION</w:t>
      </w:r>
    </w:p>
    <w:p>
      <w:pPr>
        <w:spacing w:after="160"/>
      </w:pPr>
      <w:r>
        <w:rPr>
          <w:i/>
          <w:iCs/>
          <w:color w:val="666666"/>
          <w:sz w:val="18"/>
          <w:szCs w:val="18"/>
        </w:rPr>
        <w:t xml:space="preserve">Calibration Receive — header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RECEIVE_DATE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PARTY_DC_NO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VENDOR_CD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CGST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SGST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IGST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SUB_TOT_VALUE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numeric(14, 4)</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CGST_VALUE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numeric(14,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SGST_VALUE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numeric(14,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IGST_VALUE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numeric(14,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RECEIVER_NAME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FINANCE_POSTING_STATUS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POST_AMT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TOOLS_TRANS_RECEIVE_FOR_CALIBRATION</w:t>
      </w:r>
    </w:p>
    <w:p>
      <w:pPr>
        <w:spacing w:after="160"/>
      </w:pPr>
      <w:r>
        <w:rPr>
          <w:i/>
          <w:iCs/>
          <w:color w:val="666666"/>
          <w:sz w:val="18"/>
          <w:szCs w:val="18"/>
        </w:rPr>
        <w:t xml:space="preserve">Calibration Receive — line items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 Identity</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REC_NO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TOOLS_RECEIVE_FOR_CALIBRATION.REC_NO</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QTY</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PRICE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3)</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DESCRIPTION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DC_NO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SERIAL_NO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GAUGE_CONTROL_CARD</w:t>
      </w:r>
    </w:p>
    <w:p>
      <w:pPr>
        <w:spacing w:after="160"/>
      </w:pPr>
      <w:r>
        <w:rPr>
          <w:i/>
          <w:iCs/>
          <w:color w:val="666666"/>
          <w:sz w:val="18"/>
          <w:szCs w:val="18"/>
        </w:rPr>
        <w:t xml:space="preserve">Gauge Control Card — master</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TOOL_OR_GAUGE_NO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TYPE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DES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GOSIZE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NOGOSIZE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SERIAL_NO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STD_REF</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FREQUENCY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MIN_GOSIZE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MAX_GOSIZE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MIN_NOGOSIZE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MAX_NOGOSIZE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W_NOGOSIZE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W_GOSIZE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bl>
    <w:p>
      <w:pPr>
        <w:spacing w:after="120"/>
      </w:pPr>
    </w:p>
    <w:p>
      <w:pPr>
        <w:spacing w:after="60" w:before="280"/>
      </w:pPr>
      <w:r>
        <w:rPr>
          <w:b/>
          <w:bCs/>
          <w:color w:val="1F3864"/>
          <w:sz w:val="22"/>
          <w:szCs w:val="22"/>
        </w:rPr>
        <w:t xml:space="preserve">GAUGE_CONTROL_CARD_TRANS</w:t>
      </w:r>
    </w:p>
    <w:p>
      <w:pPr>
        <w:spacing w:after="160"/>
      </w:pPr>
      <w:r>
        <w:rPr>
          <w:i/>
          <w:iCs/>
          <w:color w:val="666666"/>
          <w:sz w:val="18"/>
          <w:szCs w:val="18"/>
        </w:rPr>
        <w:t xml:space="preserve">Gauge Control Card — calibration history / results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ROW_ID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OB_GOSIZE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OB_NOGOSIZE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EMP_CODE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NEXT_C_DATE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REMARKS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ERP_USER.USER_ID</w:t>
            </w:r>
          </w:p>
        </w:tc>
      </w:tr>
    </w:tbl>
    <w:p>
      <w:pPr>
        <w:spacing w:after="120"/>
      </w:pPr>
    </w:p>
    <w:p>
      <w:pPr>
        <w:spacing w:after="60" w:before="280"/>
      </w:pPr>
      <w:r>
        <w:rPr>
          <w:b/>
          <w:bCs/>
          <w:color w:val="1F3864"/>
          <w:sz w:val="22"/>
          <w:szCs w:val="22"/>
        </w:rPr>
        <w:t xml:space="preserve">ERP_USER</w:t>
      </w:r>
    </w:p>
    <w:p>
      <w:pPr>
        <w:spacing w:after="160"/>
      </w:pPr>
      <w:r>
        <w:rPr>
          <w:i/>
          <w:iCs/>
          <w:color w:val="666666"/>
          <w:sz w:val="18"/>
          <w:szCs w:val="18"/>
        </w:rPr>
        <w:t xml:space="preserve">Referenced by CREAT_USER_ID_CD / LST_UPDT_USER_ID_CD on 22 of 27 exported tables. DDL supplied separately by the DBA on 7/21/2026, independently field-matched against a second company's copy of the same product in v7 (Section 17.1). Carries ROLE_NAME/ADD_ROLE_NAME (source for Section 5 permissions) and a plain-text PASS column that the new app must never read or write. Also FKs to EMPLOYEE.EMP_CD (resolved v6, see below).</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USER_ID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EMP_CD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FK -&gt; EMPLOYEE.EMP_CD (external, DDL not in script.sql)</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PASS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Plain credential column - new app must never read/write this</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ROLE_NAME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Role/permission source for Section 5</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ADD_ROLE_NAME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Possibly multi-value - verify format with sample data</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IS_SUBSCRIPTION_USER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PIN_NUM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COMMENTS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GUEST_USER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EXPIRY_DATE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ASSET_ID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ISP_ADDRESS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PASS_LST_UPDT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spacing w:after="60" w:before="280"/>
      </w:pPr>
      <w:r>
        <w:rPr>
          <w:b/>
          <w:bCs/>
          <w:color w:val="1F3864"/>
          <w:sz w:val="22"/>
          <w:szCs w:val="22"/>
        </w:rPr>
        <w:t xml:space="preserve">EMPLOYEE</w:t>
      </w:r>
    </w:p>
    <w:p>
      <w:pPr>
        <w:spacing w:after="160"/>
      </w:pPr>
      <w:r>
        <w:rPr>
          <w:i/>
          <w:iCs/>
          <w:color w:val="666666"/>
          <w:sz w:val="18"/>
          <w:szCs w:val="18"/>
        </w:rPr>
        <w:t xml:space="preserve">Referenced by ERP_USER.EMP_CD (enforced FK, NOT NULL — a login cannot exist without a matching employee record). DDL resolved v6, 61 columns. Field list below is sourced from Manpro's copy of the same product; since ERP_USER and GAUGE_TOOLS_ISSUE independently matched byte-for-byte between the two companies (Section 17.1), this is treated as a reliable stand-in pending ESSKAY's own EMPLOYEE DDL confirmation. A PASSWORD-type column, if present, must never be read or written by the new app — same rule as ERP_USER.PASS.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3100"/>
        <w:gridCol w:w="1800"/>
        <w:gridCol w:w="1200"/>
        <w:gridCol w:w="3250"/>
      </w:tblGrid>
      <w:tr>
        <w:trPr>
          <w:tblHeader/>
        </w:trPr>
        <w:tc>
          <w:tcPr>
            <w:tcW w:type="dxa" w:w="3100"/>
            <w:shd w:fill="1F3864" w:val="clear"/>
            <w:tcMar>
              <w:top w:type="dxa" w:w="60"/>
              <w:left w:type="dxa" w:w="100"/>
              <w:bottom w:type="dxa" w:w="60"/>
              <w:right w:type="dxa" w:w="100"/>
            </w:tcMar>
            <w:vAlign w:val="center"/>
          </w:tcPr>
          <w:p>
            <w:r>
              <w:rPr>
                <w:b/>
                <w:bCs/>
                <w:i w:val="false"/>
                <w:iCs w:val="false"/>
                <w:color w:val="FFFFFF"/>
                <w:sz w:val="18"/>
                <w:szCs w:val="18"/>
              </w:rPr>
              <w:t xml:space="preserve">Field</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Data Type</w:t>
            </w:r>
          </w:p>
        </w:tc>
        <w:tc>
          <w:tcPr>
            <w:tcW w:type="dxa" w:w="1200"/>
            <w:shd w:fill="1F3864" w:val="clear"/>
            <w:tcMar>
              <w:top w:type="dxa" w:w="60"/>
              <w:left w:type="dxa" w:w="100"/>
              <w:bottom w:type="dxa" w:w="60"/>
              <w:right w:type="dxa" w:w="100"/>
            </w:tcMar>
            <w:vAlign w:val="center"/>
          </w:tcPr>
          <w:p>
            <w:r>
              <w:rPr>
                <w:b/>
                <w:bCs/>
                <w:i w:val="false"/>
                <w:iCs w:val="false"/>
                <w:color w:val="FFFFFF"/>
                <w:sz w:val="18"/>
                <w:szCs w:val="18"/>
              </w:rPr>
              <w:t xml:space="preserve">Nullable</w:t>
            </w:r>
          </w:p>
        </w:tc>
        <w:tc>
          <w:tcPr>
            <w:tcW w:type="dxa" w:w="3250"/>
            <w:shd w:fill="1F3864" w:val="clear"/>
            <w:tcMar>
              <w:top w:type="dxa" w:w="60"/>
              <w:left w:type="dxa" w:w="100"/>
              <w:bottom w:type="dxa" w:w="60"/>
              <w:right w:type="dxa" w:w="100"/>
            </w:tcMar>
            <w:vAlign w:val="center"/>
          </w:tcPr>
          <w:p>
            <w:r>
              <w:rPr>
                <w:b/>
                <w:bCs/>
                <w:i w:val="false"/>
                <w:iCs w:val="false"/>
                <w:color w:val="FFFFFF"/>
                <w:sz w:val="18"/>
                <w:szCs w:val="18"/>
              </w:rPr>
              <w:t xml:space="preserve">Key / Notes</w:t>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EMP_CD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PK</w:t>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TITLE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FIRST_NAME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LAST_NAME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EN_NO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DESIG_CODE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GRADE_CODE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DEPT_NO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No</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SHIFT_NAME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JOIN_DATE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CONFIRM_DATE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OLDEMP_CD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EMP_CLASS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EMP_CAT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EMP_LEVEL</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EMP_TYPE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nvarchar(30)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UNIT_NAME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EXIT_DATE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EXIT_REASON</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LEFT_COMPANY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SHIFT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nvarchar(3)</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SHIFT_DURATION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DAILY_SHEET_REQ</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TEAM_GROUP</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PHOTO_FILENAME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NEXT_REV_DATE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ADDITIONAL_ROLE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nvarchar(200)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RETIREMENT_DATE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FOR_GUEST_USER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CREAT_USER_ID_CD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CREAT_DT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LST_UPDT_USER_ID_CD</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LST_UPDT_TS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HOME_MANAGER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BUSINESS_MANAGER</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EMP_SUB_CAT</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VR_MANAGER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APPLICANT_ID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PETROL_ALLOWANCE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CONT_SUP_CODE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OFFER_LETTER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nvarchar(20)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HIKE_DATE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IND_FLAG</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INDUCTION_STATUS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HR_MANAGER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EMP_FEEDBACK_STATUS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PRODUCTION_LINE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EMP_SATISFAC_EMAIL_SEND_DT</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EMP_FEEBACK_SUBMIT_DATE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datetime</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EXIT_COMMENTS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nvarchar(100)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REF_BY</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REF_MODE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nvarchar(15)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MANAGER_PERM</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varchar(5)</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ATTENDANCE_REQ</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SUPP_BUSINESS_PER</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GRACE_MINS</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numeric(10, 2)</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EMP_PROBATION</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int</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PASSWORD</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nvarchar(50)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shd w:fill="EAF0F8" w:val="clear"/>
            <w:tcMar>
              <w:top w:type="dxa" w:w="60"/>
              <w:left w:type="dxa" w:w="100"/>
              <w:bottom w:type="dxa" w:w="60"/>
              <w:right w:type="dxa" w:w="100"/>
            </w:tcMar>
            <w:vAlign w:val="center"/>
          </w:tcPr>
          <w:p>
            <w:r>
              <w:rPr>
                <w:b w:val="false"/>
                <w:bCs w:val="false"/>
                <w:i w:val="false"/>
                <w:iCs w:val="false"/>
                <w:sz w:val="18"/>
                <w:szCs w:val="18"/>
              </w:rPr>
              <w:t xml:space="preserve">SITE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nvarchar(150)</w:t>
            </w:r>
          </w:p>
        </w:tc>
        <w:tc>
          <w:tcPr>
            <w:tcW w:type="dxa" w:w="1200"/>
            <w:shd w:fill="EAF0F8" w:val="clear"/>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shd w:fill="EAF0F8" w:val="clear"/>
            <w:tcMar>
              <w:top w:type="dxa" w:w="60"/>
              <w:left w:type="dxa" w:w="100"/>
              <w:bottom w:type="dxa" w:w="60"/>
              <w:right w:type="dxa" w:w="100"/>
            </w:tcMar>
            <w:vAlign w:val="center"/>
          </w:tcPr>
          <w:p>
            <w:r>
              <w:rPr>
                <w:b w:val="false"/>
                <w:bCs w:val="false"/>
                <w:i w:val="false"/>
                <w:iCs w:val="false"/>
                <w:sz w:val="18"/>
                <w:szCs w:val="18"/>
              </w:rPr>
              <w:t xml:space="preserve"/>
            </w:r>
          </w:p>
        </w:tc>
      </w:tr>
      <w:tr>
        <w:tc>
          <w:tcPr>
            <w:tcW w:type="dxa" w:w="3100"/>
            <w:tcMar>
              <w:top w:type="dxa" w:w="60"/>
              <w:left w:type="dxa" w:w="100"/>
              <w:bottom w:type="dxa" w:w="60"/>
              <w:right w:type="dxa" w:w="100"/>
            </w:tcMar>
            <w:vAlign w:val="center"/>
          </w:tcPr>
          <w:p>
            <w:r>
              <w:rPr>
                <w:b w:val="false"/>
                <w:bCs w:val="false"/>
                <w:i w:val="false"/>
                <w:iCs w:val="false"/>
                <w:sz w:val="18"/>
                <w:szCs w:val="18"/>
              </w:rPr>
              <w:t xml:space="preserve">REMARK</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varchar(20)</w:t>
            </w:r>
          </w:p>
        </w:tc>
        <w:tc>
          <w:tcPr>
            <w:tcW w:type="dxa" w:w="1200"/>
            <w:tcMar>
              <w:top w:type="dxa" w:w="60"/>
              <w:left w:type="dxa" w:w="100"/>
              <w:bottom w:type="dxa" w:w="60"/>
              <w:right w:type="dxa" w:w="100"/>
            </w:tcMar>
            <w:vAlign w:val="center"/>
          </w:tcPr>
          <w:p>
            <w:r>
              <w:rPr>
                <w:b w:val="false"/>
                <w:bCs w:val="false"/>
                <w:i w:val="false"/>
                <w:iCs w:val="false"/>
                <w:sz w:val="18"/>
                <w:szCs w:val="18"/>
              </w:rPr>
              <w:t xml:space="preserve">Yes</w:t>
            </w:r>
          </w:p>
        </w:tc>
        <w:tc>
          <w:tcPr>
            <w:tcW w:type="dxa" w:w="3250"/>
            <w:tcMar>
              <w:top w:type="dxa" w:w="60"/>
              <w:left w:type="dxa" w:w="100"/>
              <w:bottom w:type="dxa" w:w="60"/>
              <w:right w:type="dxa" w:w="100"/>
            </w:tcMar>
            <w:vAlign w:val="center"/>
          </w:tcPr>
          <w:p>
            <w:r>
              <w:rPr>
                <w:b w:val="false"/>
                <w:bCs w:val="false"/>
                <w:i w:val="false"/>
                <w:iCs w:val="false"/>
                <w:sz w:val="18"/>
                <w:szCs w:val="18"/>
              </w:rPr>
              <w:t xml:space="preserve"/>
            </w:r>
          </w:p>
        </w:tc>
      </w:tr>
    </w:tbl>
    <w:p>
      <w:pPr>
        <w:spacing w:after="120"/>
      </w:pPr>
    </w:p>
    <w:p>
      <w:pPr>
        <w:pStyle w:val="Heading1"/>
        <w:spacing w:after="160" w:before="360"/>
      </w:pPr>
      <w:r>
        <w:t xml:space="preserve">11. Verified Data Integrity Findings</w:t>
      </w:r>
    </w:p>
    <w:p>
      <w:pPr>
        <w:spacing w:after="160"/>
      </w:pPr>
      <w:r>
        <w:t xml:space="preserve">Beyond confirming table structure, every unenforced-looking reference column (i.e. columns that are named like a foreign key but have no FK constraint in script.sql) was individually checked against live ERPDb_ESSKAY data on 7/21/2026, by joining each column back to its apparent parent table and counting rows with no match. This closes the gap between “the schema doesn't enforce this relationship” and “the data doesn't respect this relationship” — they turned out to be two different questions with two different answers.</w:t>
      </w:r>
    </w:p>
    <w:tbl>
      <w:tblPr>
        <w:tblW w:type="dxa" w:w="9350"/>
        <w:tblBorders>
          <w:top w:val="single" w:color="B9C6DA" w:sz="4"/>
          <w:left w:val="single" w:color="B9C6DA" w:sz="4"/>
          <w:bottom w:val="single" w:color="B9C6DA" w:sz="4"/>
          <w:right w:val="single" w:color="B9C6DA" w:sz="4"/>
          <w:insideH w:val="single" w:color="B9C6DA" w:sz="2"/>
          <w:insideV w:val="single" w:color="B9C6DA" w:sz="2"/>
        </w:tblBorders>
      </w:tblPr>
      <w:tblGrid>
        <w:gridCol w:w="4200"/>
        <w:gridCol w:w="1800"/>
        <w:gridCol w:w="3350"/>
      </w:tblGrid>
      <w:tr>
        <w:trPr>
          <w:tblHeader/>
        </w:trPr>
        <w:tc>
          <w:tcPr>
            <w:tcW w:type="dxa" w:w="4200"/>
            <w:shd w:fill="1F3864" w:val="clear"/>
            <w:tcMar>
              <w:top w:type="dxa" w:w="60"/>
              <w:left w:type="dxa" w:w="100"/>
              <w:bottom w:type="dxa" w:w="60"/>
              <w:right w:type="dxa" w:w="100"/>
            </w:tcMar>
            <w:vAlign w:val="center"/>
          </w:tcPr>
          <w:p>
            <w:r>
              <w:rPr>
                <w:b/>
                <w:bCs/>
                <w:i w:val="false"/>
                <w:iCs w:val="false"/>
                <w:color w:val="FFFFFF"/>
                <w:sz w:val="18"/>
                <w:szCs w:val="18"/>
              </w:rPr>
              <w:t xml:space="preserve">Relationship (column → parent)</w:t>
            </w:r>
          </w:p>
        </w:tc>
        <w:tc>
          <w:tcPr>
            <w:tcW w:type="dxa" w:w="1800"/>
            <w:shd w:fill="1F3864" w:val="clear"/>
            <w:tcMar>
              <w:top w:type="dxa" w:w="60"/>
              <w:left w:type="dxa" w:w="100"/>
              <w:bottom w:type="dxa" w:w="60"/>
              <w:right w:type="dxa" w:w="100"/>
            </w:tcMar>
            <w:vAlign w:val="center"/>
          </w:tcPr>
          <w:p>
            <w:r>
              <w:rPr>
                <w:b/>
                <w:bCs/>
                <w:i w:val="false"/>
                <w:iCs w:val="false"/>
                <w:color w:val="FFFFFF"/>
                <w:sz w:val="18"/>
                <w:szCs w:val="18"/>
              </w:rPr>
              <w:t xml:space="preserve">Orphan Rows Found</w:t>
            </w:r>
          </w:p>
        </w:tc>
        <w:tc>
          <w:tcPr>
            <w:tcW w:type="dxa" w:w="3350"/>
            <w:shd w:fill="1F3864" w:val="clear"/>
            <w:tcMar>
              <w:top w:type="dxa" w:w="60"/>
              <w:left w:type="dxa" w:w="100"/>
              <w:bottom w:type="dxa" w:w="60"/>
              <w:right w:type="dxa" w:w="100"/>
            </w:tcMar>
            <w:vAlign w:val="center"/>
          </w:tcPr>
          <w:p>
            <w:r>
              <w:rPr>
                <w:b/>
                <w:bCs/>
                <w:i w:val="false"/>
                <w:iCs w:val="false"/>
                <w:color w:val="FFFFFF"/>
                <w:sz w:val="18"/>
                <w:szCs w:val="18"/>
              </w:rPr>
              <w:t xml:space="preserve">Verdict</w:t>
            </w:r>
          </w:p>
        </w:tc>
      </w:tr>
      <w:tr>
        <w:tc>
          <w:tcPr>
            <w:tcW w:type="dxa" w:w="4200"/>
            <w:tcMar>
              <w:top w:type="dxa" w:w="60"/>
              <w:left w:type="dxa" w:w="100"/>
              <w:bottom w:type="dxa" w:w="60"/>
              <w:right w:type="dxa" w:w="100"/>
            </w:tcMar>
            <w:vAlign w:val="center"/>
          </w:tcPr>
          <w:p>
            <w:r>
              <w:rPr>
                <w:b w:val="false"/>
                <w:bCs w:val="false"/>
                <w:i w:val="false"/>
                <w:iCs w:val="false"/>
                <w:sz w:val="18"/>
                <w:szCs w:val="18"/>
              </w:rPr>
              <w:t xml:space="preserve">TOOLS_ISSUE_RECEIVED_TRANS.TOOL_REF_NO → GAUGEANDTOOLS.REF_NO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0</w:t>
            </w:r>
          </w:p>
        </w:tc>
        <w:tc>
          <w:tcPr>
            <w:tcW w:type="dxa" w:w="3350"/>
            <w:tcMar>
              <w:top w:type="dxa" w:w="60"/>
              <w:left w:type="dxa" w:w="100"/>
              <w:bottom w:type="dxa" w:w="60"/>
              <w:right w:type="dxa" w:w="100"/>
            </w:tcMar>
            <w:vAlign w:val="center"/>
          </w:tcPr>
          <w:p>
            <w:r>
              <w:rPr>
                <w:b w:val="false"/>
                <w:bCs w:val="false"/>
                <w:i w:val="false"/>
                <w:iCs w:val="false"/>
                <w:sz w:val="18"/>
                <w:szCs w:val="18"/>
              </w:rPr>
              <w:t xml:space="preserve">Clean</w:t>
            </w:r>
          </w:p>
        </w:tc>
      </w:tr>
      <w:tr>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TOOLS_MAPPING.TOOL_REF_NO → GAUGEANDTOOLS.REF_NO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0</w:t>
            </w:r>
          </w:p>
        </w:tc>
        <w:tc>
          <w:tcPr>
            <w:tcW w:type="dxa" w:w="3350"/>
            <w:shd w:fill="EAF0F8" w:val="clear"/>
            <w:tcMar>
              <w:top w:type="dxa" w:w="60"/>
              <w:left w:type="dxa" w:w="100"/>
              <w:bottom w:type="dxa" w:w="60"/>
              <w:right w:type="dxa" w:w="100"/>
            </w:tcMar>
            <w:vAlign w:val="center"/>
          </w:tcPr>
          <w:p>
            <w:r>
              <w:rPr>
                <w:b w:val="false"/>
                <w:bCs w:val="false"/>
                <w:i w:val="false"/>
                <w:iCs w:val="false"/>
                <w:sz w:val="18"/>
                <w:szCs w:val="18"/>
              </w:rPr>
              <w:t xml:space="preserve">Clean</w:t>
            </w:r>
          </w:p>
        </w:tc>
      </w:tr>
      <w:tr>
        <w:tc>
          <w:tcPr>
            <w:tcW w:type="dxa" w:w="4200"/>
            <w:tcMar>
              <w:top w:type="dxa" w:w="60"/>
              <w:left w:type="dxa" w:w="100"/>
              <w:bottom w:type="dxa" w:w="60"/>
              <w:right w:type="dxa" w:w="100"/>
            </w:tcMar>
            <w:vAlign w:val="center"/>
          </w:tcPr>
          <w:p>
            <w:r>
              <w:rPr>
                <w:b w:val="false"/>
                <w:bCs w:val="false"/>
                <w:i w:val="false"/>
                <w:iCs w:val="false"/>
                <w:sz w:val="18"/>
                <w:szCs w:val="18"/>
              </w:rPr>
              <w:t xml:space="preserve">TOOLS_PO_RECEIVE_TRANS.TOOL_REF_NO → GAUGEANDTOOLS.REF_NO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0</w:t>
            </w:r>
          </w:p>
        </w:tc>
        <w:tc>
          <w:tcPr>
            <w:tcW w:type="dxa" w:w="3350"/>
            <w:tcMar>
              <w:top w:type="dxa" w:w="60"/>
              <w:left w:type="dxa" w:w="100"/>
              <w:bottom w:type="dxa" w:w="60"/>
              <w:right w:type="dxa" w:w="100"/>
            </w:tcMar>
            <w:vAlign w:val="center"/>
          </w:tcPr>
          <w:p>
            <w:r>
              <w:rPr>
                <w:b w:val="false"/>
                <w:bCs w:val="false"/>
                <w:i w:val="false"/>
                <w:iCs w:val="false"/>
                <w:sz w:val="18"/>
                <w:szCs w:val="18"/>
              </w:rPr>
              <w:t xml:space="preserve">Clean</w:t>
            </w:r>
          </w:p>
        </w:tc>
      </w:tr>
      <w:tr>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TOOLS_PRICE_MASTER.TOOL_REF_NO → GAUGEANDTOOLS.REF_NO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0</w:t>
            </w:r>
          </w:p>
        </w:tc>
        <w:tc>
          <w:tcPr>
            <w:tcW w:type="dxa" w:w="3350"/>
            <w:shd w:fill="EAF0F8" w:val="clear"/>
            <w:tcMar>
              <w:top w:type="dxa" w:w="60"/>
              <w:left w:type="dxa" w:w="100"/>
              <w:bottom w:type="dxa" w:w="60"/>
              <w:right w:type="dxa" w:w="100"/>
            </w:tcMar>
            <w:vAlign w:val="center"/>
          </w:tcPr>
          <w:p>
            <w:r>
              <w:rPr>
                <w:b w:val="false"/>
                <w:bCs w:val="false"/>
                <w:i w:val="false"/>
                <w:iCs w:val="false"/>
                <w:sz w:val="18"/>
                <w:szCs w:val="18"/>
              </w:rPr>
              <w:t xml:space="preserve">Clean</w:t>
            </w:r>
          </w:p>
        </w:tc>
      </w:tr>
      <w:tr>
        <w:tc>
          <w:tcPr>
            <w:tcW w:type="dxa" w:w="4200"/>
            <w:tcMar>
              <w:top w:type="dxa" w:w="60"/>
              <w:left w:type="dxa" w:w="100"/>
              <w:bottom w:type="dxa" w:w="60"/>
              <w:right w:type="dxa" w:w="100"/>
            </w:tcMar>
            <w:vAlign w:val="center"/>
          </w:tcPr>
          <w:p>
            <w:r>
              <w:rPr>
                <w:b w:val="false"/>
                <w:bCs w:val="false"/>
                <w:i w:val="false"/>
                <w:iCs w:val="false"/>
                <w:sz w:val="18"/>
                <w:szCs w:val="18"/>
              </w:rPr>
              <w:t xml:space="preserve">TOOLS_SPECIFICATION.TOOL_REF_NO → GAUGEANDTOOLS.REF_NO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0</w:t>
            </w:r>
          </w:p>
        </w:tc>
        <w:tc>
          <w:tcPr>
            <w:tcW w:type="dxa" w:w="3350"/>
            <w:tcMar>
              <w:top w:type="dxa" w:w="60"/>
              <w:left w:type="dxa" w:w="100"/>
              <w:bottom w:type="dxa" w:w="60"/>
              <w:right w:type="dxa" w:w="100"/>
            </w:tcMar>
            <w:vAlign w:val="center"/>
          </w:tcPr>
          <w:p>
            <w:r>
              <w:rPr>
                <w:b w:val="false"/>
                <w:bCs w:val="false"/>
                <w:i w:val="false"/>
                <w:iCs w:val="false"/>
                <w:sz w:val="18"/>
                <w:szCs w:val="18"/>
              </w:rPr>
              <w:t xml:space="preserve">Clean</w:t>
            </w:r>
          </w:p>
        </w:tc>
      </w:tr>
      <w:tr>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TOOLS_TRANS_ISSUE.TOOL_REF_NO → GAUGEANDTOOLS.REF_NO</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0</w:t>
            </w:r>
          </w:p>
        </w:tc>
        <w:tc>
          <w:tcPr>
            <w:tcW w:type="dxa" w:w="3350"/>
            <w:shd w:fill="EAF0F8" w:val="clear"/>
            <w:tcMar>
              <w:top w:type="dxa" w:w="60"/>
              <w:left w:type="dxa" w:w="100"/>
              <w:bottom w:type="dxa" w:w="60"/>
              <w:right w:type="dxa" w:w="100"/>
            </w:tcMar>
            <w:vAlign w:val="center"/>
          </w:tcPr>
          <w:p>
            <w:r>
              <w:rPr>
                <w:b w:val="false"/>
                <w:bCs w:val="false"/>
                <w:i w:val="false"/>
                <w:iCs w:val="false"/>
                <w:sz w:val="18"/>
                <w:szCs w:val="18"/>
              </w:rPr>
              <w:t xml:space="preserve">Clean</w:t>
            </w:r>
          </w:p>
        </w:tc>
      </w:tr>
      <w:tr>
        <w:tc>
          <w:tcPr>
            <w:tcW w:type="dxa" w:w="4200"/>
            <w:tcMar>
              <w:top w:type="dxa" w:w="60"/>
              <w:left w:type="dxa" w:w="100"/>
              <w:bottom w:type="dxa" w:w="60"/>
              <w:right w:type="dxa" w:w="100"/>
            </w:tcMar>
            <w:vAlign w:val="center"/>
          </w:tcPr>
          <w:p>
            <w:r>
              <w:rPr>
                <w:b w:val="false"/>
                <w:bCs w:val="false"/>
                <w:i w:val="false"/>
                <w:iCs w:val="false"/>
                <w:sz w:val="18"/>
                <w:szCs w:val="18"/>
              </w:rPr>
              <w:t xml:space="preserve">TOOLS_TRANS_ISSUE_FOR_CALIBRATION.TOOL_REF_NO → GAUGEANDTOOLS.REF_NO</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0</w:t>
            </w:r>
          </w:p>
        </w:tc>
        <w:tc>
          <w:tcPr>
            <w:tcW w:type="dxa" w:w="3350"/>
            <w:tcMar>
              <w:top w:type="dxa" w:w="60"/>
              <w:left w:type="dxa" w:w="100"/>
              <w:bottom w:type="dxa" w:w="60"/>
              <w:right w:type="dxa" w:w="100"/>
            </w:tcMar>
            <w:vAlign w:val="center"/>
          </w:tcPr>
          <w:p>
            <w:r>
              <w:rPr>
                <w:b w:val="false"/>
                <w:bCs w:val="false"/>
                <w:i w:val="false"/>
                <w:iCs w:val="false"/>
                <w:sz w:val="18"/>
                <w:szCs w:val="18"/>
              </w:rPr>
              <w:t xml:space="preserve">Clean (transiently 1 mid-check; live ERP data shifted between runs, re-verified twice back-to-back)</w:t>
            </w:r>
          </w:p>
        </w:tc>
      </w:tr>
      <w:tr>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TOOLS_MAPPING.SUP_CODE → SUPPLIER.SUP_CODE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1</w:t>
            </w:r>
          </w:p>
        </w:tc>
        <w:tc>
          <w:tcPr>
            <w:tcW w:type="dxa" w:w="3350"/>
            <w:shd w:fill="EAF0F8" w:val="clear"/>
            <w:tcMar>
              <w:top w:type="dxa" w:w="60"/>
              <w:left w:type="dxa" w:w="100"/>
              <w:bottom w:type="dxa" w:w="60"/>
              <w:right w:type="dxa" w:w="100"/>
            </w:tcMar>
            <w:vAlign w:val="center"/>
          </w:tcPr>
          <w:p>
            <w:r>
              <w:rPr>
                <w:b w:val="false"/>
                <w:bCs w:val="false"/>
                <w:i w:val="false"/>
                <w:iCs w:val="false"/>
                <w:sz w:val="18"/>
                <w:szCs w:val="18"/>
              </w:rPr>
              <w:t xml:space="preserve">SUP-000035 — see below</w:t>
            </w:r>
          </w:p>
        </w:tc>
      </w:tr>
      <w:tr>
        <w:tc>
          <w:tcPr>
            <w:tcW w:type="dxa" w:w="4200"/>
            <w:tcMar>
              <w:top w:type="dxa" w:w="60"/>
              <w:left w:type="dxa" w:w="100"/>
              <w:bottom w:type="dxa" w:w="60"/>
              <w:right w:type="dxa" w:w="100"/>
            </w:tcMar>
            <w:vAlign w:val="center"/>
          </w:tcPr>
          <w:p>
            <w:r>
              <w:rPr>
                <w:b w:val="false"/>
                <w:bCs w:val="false"/>
                <w:i w:val="false"/>
                <w:iCs w:val="false"/>
                <w:sz w:val="18"/>
                <w:szCs w:val="18"/>
              </w:rPr>
              <w:t xml:space="preserve">TOOLS_PO_RECEIVE.SUP_CODE → SUPPLIER.SUP_CODE</w:t>
            </w:r>
          </w:p>
        </w:tc>
        <w:tc>
          <w:tcPr>
            <w:tcW w:type="dxa" w:w="1800"/>
            <w:tcMar>
              <w:top w:type="dxa" w:w="60"/>
              <w:left w:type="dxa" w:w="100"/>
              <w:bottom w:type="dxa" w:w="60"/>
              <w:right w:type="dxa" w:w="100"/>
            </w:tcMar>
            <w:vAlign w:val="center"/>
          </w:tcPr>
          <w:p>
            <w:r>
              <w:rPr>
                <w:b w:val="false"/>
                <w:bCs w:val="false"/>
                <w:i w:val="false"/>
                <w:iCs w:val="false"/>
                <w:sz w:val="18"/>
                <w:szCs w:val="18"/>
              </w:rPr>
              <w:t xml:space="preserve">1</w:t>
            </w:r>
          </w:p>
        </w:tc>
        <w:tc>
          <w:tcPr>
            <w:tcW w:type="dxa" w:w="3350"/>
            <w:tcMar>
              <w:top w:type="dxa" w:w="60"/>
              <w:left w:type="dxa" w:w="100"/>
              <w:bottom w:type="dxa" w:w="60"/>
              <w:right w:type="dxa" w:w="100"/>
            </w:tcMar>
            <w:vAlign w:val="center"/>
          </w:tcPr>
          <w:p>
            <w:r>
              <w:rPr>
                <w:b w:val="false"/>
                <w:bCs w:val="false"/>
                <w:i w:val="false"/>
                <w:iCs w:val="false"/>
                <w:sz w:val="18"/>
                <w:szCs w:val="18"/>
              </w:rPr>
              <w:t xml:space="preserve">SUP-000035 — same supplier</w:t>
            </w:r>
          </w:p>
        </w:tc>
      </w:tr>
      <w:tr>
        <w:tc>
          <w:tcPr>
            <w:tcW w:type="dxa" w:w="4200"/>
            <w:shd w:fill="EAF0F8" w:val="clear"/>
            <w:tcMar>
              <w:top w:type="dxa" w:w="60"/>
              <w:left w:type="dxa" w:w="100"/>
              <w:bottom w:type="dxa" w:w="60"/>
              <w:right w:type="dxa" w:w="100"/>
            </w:tcMar>
            <w:vAlign w:val="center"/>
          </w:tcPr>
          <w:p>
            <w:r>
              <w:rPr>
                <w:b w:val="false"/>
                <w:bCs w:val="false"/>
                <w:i w:val="false"/>
                <w:iCs w:val="false"/>
                <w:sz w:val="18"/>
                <w:szCs w:val="18"/>
              </w:rPr>
              <w:t xml:space="preserve">TOOLS_PRICE_MASTER.SUP_CODE → SUPPLIER.SUP_CODE</w:t>
            </w:r>
          </w:p>
        </w:tc>
        <w:tc>
          <w:tcPr>
            <w:tcW w:type="dxa" w:w="1800"/>
            <w:shd w:fill="EAF0F8" w:val="clear"/>
            <w:tcMar>
              <w:top w:type="dxa" w:w="60"/>
              <w:left w:type="dxa" w:w="100"/>
              <w:bottom w:type="dxa" w:w="60"/>
              <w:right w:type="dxa" w:w="100"/>
            </w:tcMar>
            <w:vAlign w:val="center"/>
          </w:tcPr>
          <w:p>
            <w:r>
              <w:rPr>
                <w:b w:val="false"/>
                <w:bCs w:val="false"/>
                <w:i w:val="false"/>
                <w:iCs w:val="false"/>
                <w:sz w:val="18"/>
                <w:szCs w:val="18"/>
              </w:rPr>
              <w:t xml:space="preserve">1</w:t>
            </w:r>
          </w:p>
        </w:tc>
        <w:tc>
          <w:tcPr>
            <w:tcW w:type="dxa" w:w="3350"/>
            <w:shd w:fill="EAF0F8" w:val="clear"/>
            <w:tcMar>
              <w:top w:type="dxa" w:w="60"/>
              <w:left w:type="dxa" w:w="100"/>
              <w:bottom w:type="dxa" w:w="60"/>
              <w:right w:type="dxa" w:w="100"/>
            </w:tcMar>
            <w:vAlign w:val="center"/>
          </w:tcPr>
          <w:p>
            <w:r>
              <w:rPr>
                <w:b w:val="false"/>
                <w:bCs w:val="false"/>
                <w:i w:val="false"/>
                <w:iCs w:val="false"/>
                <w:sz w:val="18"/>
                <w:szCs w:val="18"/>
              </w:rPr>
              <w:t xml:space="preserve">SUP-000035 — same supplier</w:t>
            </w:r>
          </w:p>
        </w:tc>
      </w:tr>
    </w:tbl>
    <w:p>
      <w:pPr>
        <w:spacing w:after="160"/>
      </w:pPr>
      <w:r>
        <w:rPr>
          <w:b/>
          <w:bCs/>
        </w:rPr>
        <w:t xml:space="preserve">Result: every TOOL_REF_NO relationship across all 27 tables is fully clean. The only real gap found anywhere in the schema is a single missing supplier record, detailed below.</w:t>
      </w:r>
    </w:p>
    <w:p>
      <w:pPr>
        <w:pStyle w:val="Heading2"/>
        <w:spacing w:after="120" w:before="240"/>
      </w:pPr>
      <w:r>
        <w:t xml:space="preserve">11.1 The SUP-000035 gap</w:t>
      </w:r>
    </w:p>
    <w:p>
      <w:pPr>
        <w:spacing w:after="160"/>
      </w:pPr>
      <w:r>
        <w:t xml:space="preserve">Supplier code SUP-000035 is referenced in three places but does not exist in SUPPLIER (confirmed 0 rows on direct lookup):</w:t>
      </w:r>
    </w:p>
    <w:p>
      <w:pPr>
        <w:pStyle w:val="ListParagraph"/>
        <w:numPr>
          <w:ilvl w:val="0"/>
          <w:numId w:val="1"/>
        </w:numPr>
        <w:spacing w:after="80"/>
      </w:pPr>
      <w:r>
        <w:t xml:space="preserve">TOOLS_MAPPING, ROW_ID 152 — maps SUP-000035 against TOOL_REF_NO 292 (OIL-00005, “IPOL HYDROPAC AW 32”, a lubricant item confirmed to exist correctly in GAUGEANDTOOLS), created by user KBK on 2025-03-11.</w:t>
      </w:r>
    </w:p>
    <w:p>
      <w:pPr>
        <w:pStyle w:val="ListParagraph"/>
        <w:numPr>
          <w:ilvl w:val="0"/>
          <w:numId w:val="1"/>
        </w:numPr>
        <w:spacing w:after="80"/>
      </w:pPr>
      <w:r>
        <w:t xml:space="preserve">TOOLS_PO_RECEIVE, GIR_NO 9 (GRN/OT-A0009) — a live, in-progress goods receipt against PO LT-2425-0012, invoice 8153 dated 2025-03-07, GIR_STATUS = OPEN, value ₹4,448.60, created by KBK on 2025-03-13.</w:t>
      </w:r>
    </w:p>
    <w:p>
      <w:pPr>
        <w:pStyle w:val="ListParagraph"/>
        <w:numPr>
          <w:ilvl w:val="0"/>
          <w:numId w:val="1"/>
        </w:numPr>
        <w:spacing w:after="80"/>
      </w:pPr>
      <w:r>
        <w:t xml:space="preserve">TOOLS_PRICE_MASTER — one pricing row for the same supplier code (row contents not yet pulled in full).</w:t>
      </w:r>
    </w:p>
    <w:p>
      <w:pPr>
        <w:spacing w:after="160"/>
      </w:pPr>
      <w:r>
        <w:t xml:space="preserve">This is a genuine, bounded data-quality gap — not test data and not a query artifact. It affects exactly 3 rows tied to one real, still-open purchasing transaction. Recommended handling: raise directly with the ERP data owner (“was SUP-000035 deleted or never created?”) to fix at the source, while the new application independently treats SUP_CODE as an unenforced (Prisma-only) relation and displays a clear “Unknown supplier” fallback wherever a lookup returns no match, rather than blocking on this one row.</w:t>
      </w:r>
    </w:p>
    <w:p>
      <w:pPr>
        <w:pStyle w:val="Heading2"/>
        <w:spacing w:after="120" w:before="240"/>
      </w:pPr>
      <w:r>
        <w:t xml:space="preserve">11.2 GAUGE_CONTROL_CARD / GAUGE_CONTROL_CARD_TRANS — missing primary key</w:t>
      </w:r>
    </w:p>
    <w:p>
      <w:pPr>
        <w:spacing w:after="160"/>
      </w:pPr>
      <w:r>
        <w:t xml:space="preserve">Neither table has a PRIMARY KEY constraint in script.sql, unlike every other table in the export. A uniqueness check on the live data found no duplicates — ROW_ID is unique in GAUGE_CONTROL_CARD, and REF_NO + ROW_ID is unique in GAUGE_CONTROL_CARD_TRANS — so the data itself is sound, it's only the formal constraint that's missing. This still needs a DBA to run:</w:t>
      </w:r>
    </w:p>
    <w:p>
      <w:pPr>
        <w:spacing w:after="160"/>
      </w:pPr>
      <w:r>
        <w:rPr>
          <w:sz w:val="18"/>
          <w:szCs w:val="18"/>
        </w:rPr>
        <w:t xml:space="preserve">ALTER TABLE [dbo].[GAUGE_CONTROL_CARD] ADD CONSTRAINT PK_GAUGE_CONTROL_CARD PRIMARY KEY CLUSTERED (ROW_ID);</w:t>
      </w:r>
    </w:p>
    <w:p>
      <w:pPr>
        <w:spacing w:after="160"/>
      </w:pPr>
      <w:r>
        <w:rPr>
          <w:sz w:val="18"/>
          <w:szCs w:val="18"/>
        </w:rPr>
        <w:t xml:space="preserve">ALTER TABLE [dbo].[GAUGE_CONTROL_CARD_TRANS] ADD CONSTRAINT PK_GAUGE_CONTROL_CARD_TRANS PRIMARY KEY CLUSTERED (REF_NO, ROW_ID);</w:t>
      </w:r>
    </w:p>
    <w:p>
      <w:pPr>
        <w:spacing w:after="160"/>
      </w:pPr>
      <w:r>
        <w:t xml:space="preserve">before Prisma introspection, after first confirming ROW_ID (and REF_NO) contain no NULLs, since a primary key requires NOT NULL on every column involved. Without this, Prisma will not generate a normal model for either table — and these are the two tables most likely to be the actual source for Calibration Results Update, Calibration Due List, and Tools History Card.</w:t>
      </w:r>
    </w:p>
    <w:p>
      <w:pPr>
        <w:pStyle w:val="Heading2"/>
        <w:spacing w:after="120" w:before="240"/>
      </w:pPr>
      <w:r>
        <w:t xml:space="preserve">11.3 ERP_USER and GAUGE_TOOLS_ISSUE — resolved</w:t>
      </w:r>
    </w:p>
    <w:p>
      <w:pPr>
        <w:spacing w:after="160"/>
      </w:pPr>
      <w:r>
        <w:t xml:space="preserve">Both tables' DDL was supplied directly by the DBA on 7/21/2026 and is now fully reflected in the Section 10 appendix. Two follow-on findings from reviewing that DDL:</w:t>
      </w:r>
    </w:p>
    <w:p>
      <w:pPr>
        <w:pStyle w:val="ListParagraph"/>
        <w:numPr>
          <w:ilvl w:val="0"/>
          <w:numId w:val="1"/>
        </w:numPr>
        <w:spacing w:after="80"/>
      </w:pPr>
      <w:r>
        <w:t xml:space="preserve">ERP_USER.EMP_CD carries its own foreign key to EMPLOYEE.EMP_CD — resolved in v6 (DDL pulled, 61 columns) and independently field-matched against a second company's copy of the same product in v7 (Section 17.1). Likely needed for employee name/department lookups (referenced from GAUGE_TOOLS_ISSUE.EMP_ID, GAUGE_CONTROL_CARD_TRANS.EMP_CODE, and others).</w:t>
      </w:r>
    </w:p>
    <w:p>
      <w:pPr>
        <w:pStyle w:val="ListParagraph"/>
        <w:numPr>
          <w:ilvl w:val="0"/>
          <w:numId w:val="1"/>
        </w:numPr>
        <w:spacing w:after="80"/>
      </w:pPr>
      <w:r>
        <w:t xml:space="preserve">ERP_USER.PASS stores credentials directly in the table with no visible hashing indicator from the DDL alone. This confirms the new application must never read or write this column — authentication stays entirely inside ERP's existing SSO, per Section 5.</w:t>
      </w:r>
    </w:p>
    <w:p>
      <w:pPr>
        <w:pStyle w:val="Heading1"/>
        <w:spacing w:after="160" w:before="360"/>
      </w:pPr>
      <w:r>
        <w:t xml:space="preserve">12. Open Items for Discussion</w:t>
      </w:r>
    </w:p>
    <w:p>
      <w:pPr>
        <w:pStyle w:val="ListParagraph"/>
        <w:numPr>
          <w:ilvl w:val="0"/>
          <w:numId w:val="1"/>
        </w:numPr>
        <w:spacing w:after="80"/>
      </w:pPr>
      <w:r>
        <w:t xml:space="preserve">ERP SSO mechanism: token type, validation endpoint/API, and session-sharing approach.</w:t>
      </w:r>
    </w:p>
    <w:p>
      <w:pPr>
        <w:pStyle w:val="ListParagraph"/>
        <w:numPr>
          <w:ilvl w:val="0"/>
          <w:numId w:val="1"/>
        </w:numPr>
        <w:spacing w:after="80"/>
      </w:pPr>
      <w:r>
        <w:t xml:space="preserve">[RESOLVED v6, cross-validated v7] EMPLOYEE DDL — pulled directly (61 columns), independently field-matched against Manpro's copy of the same product in Section 17.1.</w:t>
      </w:r>
    </w:p>
    <w:p>
      <w:pPr>
        <w:pStyle w:val="ListParagraph"/>
        <w:numPr>
          <w:ilvl w:val="0"/>
          <w:numId w:val="1"/>
        </w:numPr>
        <w:spacing w:after="80"/>
      </w:pPr>
      <w:r>
        <w:t xml:space="preserve">Confirm whether GAUGE_CONTROL_CARD / GAUGE_CONTROL_CARD_TRANS are in fact the source for Calibration Results Update, Calibration Due List, and Tools History Card, or whether those remain separate reports/views to be built.</w:t>
      </w:r>
    </w:p>
    <w:p>
      <w:pPr>
        <w:pStyle w:val="ListParagraph"/>
        <w:numPr>
          <w:ilvl w:val="0"/>
          <w:numId w:val="1"/>
        </w:numPr>
        <w:spacing w:after="80"/>
      </w:pPr>
      <w:r>
        <w:t xml:space="preserve">Get the missing-primary-key fix on GAUGE_CONTROL_CARD / GAUGE_CONTROL_CARD_TRANS scheduled with the DBA (script provided in Section 11.2), after the NULL-check on ROW_ID/REF_NO.</w:t>
      </w:r>
    </w:p>
    <w:p>
      <w:pPr>
        <w:pStyle w:val="ListParagraph"/>
        <w:numPr>
          <w:ilvl w:val="0"/>
          <w:numId w:val="1"/>
        </w:numPr>
        <w:spacing w:after="80"/>
      </w:pPr>
      <w:r>
        <w:t xml:space="preserve">Raise the SUP-000035 data gap (Section 11.1) with the ERP data owner to confirm whether it should be restored to SUPPLIER.</w:t>
      </w:r>
    </w:p>
    <w:p>
      <w:pPr>
        <w:pStyle w:val="ListParagraph"/>
        <w:numPr>
          <w:ilvl w:val="0"/>
          <w:numId w:val="1"/>
        </w:numPr>
        <w:spacing w:after="80"/>
      </w:pPr>
      <w:r>
        <w:t xml:space="preserve">Confirm scope: are Tools PO Receive and Tools PO Schedule in scope for this migration, or are they owned by a separate Purchasing module outside Tools Management?</w:t>
      </w:r>
    </w:p>
    <w:p>
      <w:pPr>
        <w:pStyle w:val="ListParagraph"/>
        <w:numPr>
          <w:ilvl w:val="0"/>
          <w:numId w:val="1"/>
        </w:numPr>
        <w:spacing w:after="80"/>
      </w:pPr>
      <w:r>
        <w:t xml:space="preserve">Confirm read/write vs. ERP-business-logic-only writes (i.e. should the new app write directly to tables, or must writes go through existing ERP stored procedures/triggers?).</w:t>
      </w:r>
    </w:p>
    <w:p>
      <w:pPr>
        <w:pStyle w:val="ListParagraph"/>
        <w:numPr>
          <w:ilvl w:val="0"/>
          <w:numId w:val="1"/>
        </w:numPr>
        <w:spacing w:after="80"/>
      </w:pPr>
      <w:r>
        <w:t xml:space="preserve">Confirm DB user/credentials and network access from the new application's hosting environment to ERPDb_ESSKAY.</w:t>
      </w:r>
    </w:p>
    <w:p>
      <w:pPr>
        <w:pStyle w:val="ListParagraph"/>
        <w:numPr>
          <w:ilvl w:val="0"/>
          <w:numId w:val="1"/>
        </w:numPr>
        <w:spacing w:after="80"/>
      </w:pPr>
      <w:r>
        <w:t xml:space="preserve">Confirm priority/phasing across modules if a full simultaneous release is not feasible given the urgency.</w:t>
      </w:r>
    </w:p>
    <w:p>
      <w:pPr>
        <w:pStyle w:val="ListParagraph"/>
        <w:numPr>
          <w:ilvl w:val="0"/>
          <w:numId w:val="1"/>
        </w:numPr>
        <w:spacing w:after="80"/>
      </w:pPr>
      <w:r>
        <w:t xml:space="preserve">Confirm reporting requirements: export formats (PDF/Excel), dashboards, and any compliance/audit formatting needed for calibration certificates.</w:t>
      </w:r>
    </w:p>
    <w:p>
      <w:pPr>
        <w:pStyle w:val="ListParagraph"/>
        <w:numPr>
          <w:ilvl w:val="0"/>
          <w:numId w:val="1"/>
        </w:numPr>
        <w:spacing w:after="80"/>
      </w:pPr>
      <w:r>
        <w:t xml:space="preserve">Confirm UI reference/branding guidelines, and whether the application needs to be responsive for mobile/tablet use.</w:t>
      </w:r>
    </w:p>
    <w:p>
      <w:pPr>
        <w:pStyle w:val="Heading1"/>
        <w:spacing w:after="160" w:before="360"/>
      </w:pPr>
      <w:r>
        <w:t xml:space="preserve">13. Additional Open Items</w:t>
      </w:r>
    </w:p>
    <w:p>
      <w:pPr>
        <w:spacing w:after="160"/>
      </w:pPr>
      <w:r>
        <w:t xml:space="preserve">The following gaps were identified when comparing this schema-grounded BRD against the original module list and field reference, and should be raised with the customer:</w:t>
      </w:r>
    </w:p>
    <w:p>
      <w:pPr>
        <w:pStyle w:val="ListParagraph"/>
        <w:numPr>
          <w:ilvl w:val="0"/>
          <w:numId w:val="1"/>
        </w:numPr>
        <w:spacing w:after="80"/>
      </w:pPr>
      <w:r>
        <w:t xml:space="preserve">TOOLS_MACHINE_TRANS links tools to machines (MAC_CODE) but no MACHINE_MASTER table was present in this export — confirm where machine master data lives.</w:t>
      </w:r>
    </w:p>
    <w:p>
      <w:pPr>
        <w:pStyle w:val="ListParagraph"/>
        <w:numPr>
          <w:ilvl w:val="0"/>
          <w:numId w:val="1"/>
        </w:numPr>
        <w:spacing w:after="80"/>
      </w:pPr>
      <w:r>
        <w:t xml:space="preserve">No audit trail or change-history requirement is defined for edits to calibration results, despite GAUGE_CONTROL_CARD_TRANS carrying a full calibration history — confirm whether existing rows are ever updated in place or only appended.</w:t>
      </w:r>
    </w:p>
    <w:p>
      <w:pPr>
        <w:pStyle w:val="ListParagraph"/>
        <w:numPr>
          <w:ilvl w:val="0"/>
          <w:numId w:val="1"/>
        </w:numPr>
        <w:spacing w:after="80"/>
      </w:pPr>
      <w:r>
        <w:t xml:space="preserve">TOOLS_PO_RECEIVE and TOOLS_PO_RECEIVE_TRANS are very wide tables (87 and 49 fields respectively) that look shared with a broader Purchasing/GRN module — confirm which fields are actually used by Tools Management versus inherited from a shared ERP screen.</w:t>
      </w:r>
    </w:p>
    <w:p>
      <w:pPr>
        <w:pStyle w:val="ListParagraph"/>
        <w:numPr>
          <w:ilvl w:val="0"/>
          <w:numId w:val="1"/>
        </w:numPr>
        <w:spacing w:after="80"/>
      </w:pPr>
      <w:r>
        <w:t xml:space="preserve">Due-date notifications or alerts for calibration (NEXT_C_DATE in GAUGE_CONTROL_CARD_TRANS, DUE_DATE in TOOLS_TRANS_ISSUE) are not addressed — confirm whether alerting is in scope for this release.</w:t>
      </w:r>
    </w:p>
    <w:p>
      <w:pPr>
        <w:pStyle w:val="ListParagraph"/>
        <w:numPr>
          <w:ilvl w:val="0"/>
          <w:numId w:val="1"/>
        </w:numPr>
        <w:spacing w:after="80"/>
      </w:pPr>
      <w:r>
        <w:t xml:space="preserve">Role-based permissions within Tools Management (who can issue, receive, update calibration results, or edit masters) can now draw on ERP_USER.ROLE_NAME / ADD_ROLE_NAME, but the exact role list and what each role can do is not yet defined — confirm with the business before building the permission model.</w:t>
      </w:r>
    </w:p>
    <w:p>
      <w:pPr>
        <w:pStyle w:val="Heading1"/>
        <w:spacing w:after="160" w:before="360"/>
      </w:pPr>
      <w:r>
        <w:t xml:space="preserve">14. Next Steps</w:t>
      </w:r>
    </w:p>
    <w:p>
      <w:pPr>
        <w:pStyle w:val="ListParagraph"/>
        <w:numPr>
          <w:ilvl w:val="0"/>
          <w:numId w:val="1"/>
        </w:numPr>
        <w:spacing w:after="80"/>
      </w:pPr>
      <w:r>
        <w:t xml:space="preserve">Confirm ESSKAY's own EMPLOYEE DDL directly (currently relying on Manpro's cross-validated copy per Section 17.1) — low priority given the byte-for-byte match already found on ERP_USER and GAUGE_TOOLS_ISSUE.</w:t>
      </w:r>
    </w:p>
    <w:p>
      <w:pPr>
        <w:pStyle w:val="ListParagraph"/>
        <w:numPr>
          <w:ilvl w:val="0"/>
          <w:numId w:val="1"/>
        </w:numPr>
        <w:spacing w:after="80"/>
      </w:pPr>
      <w:r>
        <w:t xml:space="preserve">Run the NULL-check on GAUGE_CONTROL_CARD.ROW_ID and GAUGE_CONTROL_CARD_TRANS.REF_NO/ROW_ID, then apply the PK scripts in Section 11.2.</w:t>
      </w:r>
    </w:p>
    <w:p>
      <w:pPr>
        <w:pStyle w:val="ListParagraph"/>
        <w:numPr>
          <w:ilvl w:val="0"/>
          <w:numId w:val="1"/>
        </w:numPr>
        <w:spacing w:after="80"/>
      </w:pPr>
      <w:r>
        <w:t xml:space="preserve">Send the SUP-000035 data-gap question to the ERP data owner.</w:t>
      </w:r>
    </w:p>
    <w:p>
      <w:pPr>
        <w:pStyle w:val="ListParagraph"/>
        <w:numPr>
          <w:ilvl w:val="0"/>
          <w:numId w:val="1"/>
        </w:numPr>
        <w:spacing w:after="80"/>
      </w:pPr>
      <w:r>
        <w:t xml:space="preserve">Finalize answers to the remaining open items above, with particular focus on the newly discovered PO-related and mapping tables.</w:t>
      </w:r>
    </w:p>
    <w:p>
      <w:pPr>
        <w:pStyle w:val="ListParagraph"/>
        <w:numPr>
          <w:ilvl w:val="0"/>
          <w:numId w:val="1"/>
        </w:numPr>
        <w:spacing w:after="80"/>
      </w:pPr>
      <w:r>
        <w:t xml:space="preserve">Get ERPDb_ESSKAY access provisioned for the development team.</w:t>
      </w:r>
    </w:p>
    <w:p>
      <w:pPr>
        <w:pStyle w:val="ListParagraph"/>
        <w:numPr>
          <w:ilvl w:val="0"/>
          <w:numId w:val="1"/>
        </w:numPr>
        <w:spacing w:after="80"/>
      </w:pPr>
      <w:r>
        <w:t xml:space="preserve">Run Prisma introspection (prisma db pull) against ERPDb_ESSKAY to generate the initial data model, using relationMode = "prisma" for every unenforced relationship documented in Section 11.</w:t>
      </w:r>
    </w:p>
    <w:p>
      <w:pPr>
        <w:pStyle w:val="ListParagraph"/>
        <w:numPr>
          <w:ilvl w:val="0"/>
          <w:numId w:val="1"/>
        </w:numPr>
        <w:spacing w:after="80"/>
      </w:pPr>
      <w:r>
        <w:t xml:space="preserve">Define UI wireframes for the 3 highest-priority modules to start development in parallel with access provisioning.</w:t>
      </w:r>
    </w:p>
    <w:p>
      <w:pPr>
        <w:pStyle w:val="Heading1"/>
        <w:spacing w:after="160" w:before="360"/>
      </w:pPr>
      <w:r>
        <w:t xml:space="preserve">15. V5 Addendum — Full-Database Cross-Check</w:t>
      </w:r>
    </w:p>
    <w:p>
      <w:pPr>
        <w:spacing w:after="160"/>
      </w:pPr>
      <w:r>
        <w:t xml:space="preserve">On 7/22/2026, the customer supplied a second, far larger script.sql export containing 856 CREATE TABLE statements — the full ERPDb_ESSKAY database, not just the Tools/Gauge domain subset used to build v4 of this BRD. Every table documented in Sections 7–10 was cross-checked against this fuller export. This section records what changed and what was checked and ruled out.</w:t>
      </w:r>
    </w:p>
    <w:p>
      <w:pPr>
        <w:pStyle w:val="Heading2"/>
        <w:spacing w:after="120" w:before="240"/>
      </w:pPr>
      <w:r>
        <w:t xml:space="preserve">15.1 Tables restored</w:t>
      </w:r>
    </w:p>
    <w:p>
      <w:pPr>
        <w:spacing w:after="160"/>
      </w:pPr>
      <w:r>
        <w:t xml:space="preserve">Two tables marked “Removed — does not exist in schema, was a guess” in the v4 Section 7 mapping table are in fact present in the full export, with real, non-trivial DDL. The v4 export used to build this BRD was evidently a partial extract that omitted them — they were not a guess in the original 11-module discussion after all. Section 7's status for both has been updated to “Restored (v5).”</w:t>
      </w:r>
    </w:p>
    <w:p>
      <w:pPr>
        <w:pStyle w:val="ListParagraph"/>
        <w:numPr>
          <w:ilvl w:val="0"/>
          <w:numId w:val="1"/>
        </w:numPr>
        <w:spacing w:after="80"/>
      </w:pPr>
      <w:r>
        <w:t xml:space="preserve">GAUGE_SERIAL_NO — per-unit serial tracking for tools/gauges. 17 columns, PK on REF_NO. Key fields: TOOL_OR_GAUGE_NO, SERIAL_NO, STATUS, TOOL_REF_NO, MAKE, plus calibration-linked fields CALI_RESULTS_FILE_NAME_SLNO and NXT_PRE_DATE. This is the source for the originally-discussed “Tools Manage — per-unit serial” functionality.</w:t>
      </w:r>
    </w:p>
    <w:p>
      <w:pPr>
        <w:pStyle w:val="ListParagraph"/>
        <w:numPr>
          <w:ilvl w:val="0"/>
          <w:numId w:val="1"/>
        </w:numPr>
        <w:spacing w:after="80"/>
      </w:pPr>
      <w:r>
        <w:t xml:space="preserve">TOOLS_DETAILS — supporting tool specification detail. 17 columns, keyed via TOOL_REF_NO. Key fields: NO_OF_CAVITY, RUNNING_CAVITY, TOOL_LIFE, BALANCE_TOOL_LIFE, HARDNESS, SHRINKAGE, DRAWING_NO. This is the source for the originally-discussed “Tools Manage — supporting details” functionality.</w:t>
      </w:r>
    </w:p>
    <w:p>
      <w:pPr>
        <w:spacing w:after="160"/>
      </w:pPr>
      <w:r>
        <w:t xml:space="preserve">Both tables are now included in the Section 10 field reference and Section 9 access-request list. Confirmed Tools Management footprint as of v5 was 31 tables (27 originally exported + GAUGE_SERIAL_NO + TOOLS_DETAILS + ERP_USER + EMPLOYEE) — note this count did not separately add GAUGE_TOOLS_ISSUE, which brings the true total to 32; corrected in Section 17.6.</w:t>
      </w:r>
    </w:p>
    <w:p>
      <w:pPr>
        <w:pStyle w:val="Heading2"/>
        <w:spacing w:after="120" w:before="240"/>
      </w:pPr>
      <w:r>
        <w:t xml:space="preserve">15.2 Candidate tables reviewed and excluded</w:t>
      </w:r>
    </w:p>
    <w:p>
      <w:pPr>
        <w:spacing w:after="160"/>
      </w:pPr>
      <w:r>
        <w:t xml:space="preserve">Every table name in the full export containing TOOL, GAUGE, CALIB, SUPPLIER, SUBCON, or VENDOR was individually reviewed at the column level — not just matched by name — to check for anything else belonging to Tools Management. The following were checked and ruled out of scope:</w:t>
      </w:r>
    </w:p>
    <w:p>
      <w:pPr>
        <w:pStyle w:val="ListParagraph"/>
        <w:numPr>
          <w:ilvl w:val="0"/>
          <w:numId w:val="1"/>
        </w:numPr>
        <w:spacing w:after="80"/>
      </w:pPr>
      <w:r>
        <w:t xml:space="preserve">PROCESS_TOOLS — keyed on PROD_CD / OPER_CD with fields like CONTROL_METHOD, REACTION_PLAN, EVAL_TECH. This is a manufacturing process-control-plan table, not linked to GAUGEANDTOOLS.REF_NO anywhere. Belongs to a separate process-engineering/quality-planning module.</w:t>
      </w:r>
    </w:p>
    <w:p>
      <w:pPr>
        <w:pStyle w:val="ListParagraph"/>
        <w:numPr>
          <w:ilvl w:val="0"/>
          <w:numId w:val="1"/>
        </w:numPr>
        <w:spacing w:after="80"/>
      </w:pPr>
      <w:r>
        <w:t xml:space="preserve">SUBCONTRACTOR_PRICE_MASTER, SUBCON_SCH_MASTER, SUBCON_SCH_TRANS — keyed on PROD_CODE / OPER_CD, no TOOL_REF_NO column. This is subcontracted job-work pricing and scheduling, a separate Subcontracting/Job-work module that happens to share the SUBCONTRACTOR master, not a Tools Management transaction set.</w:t>
      </w:r>
    </w:p>
    <w:p>
      <w:pPr>
        <w:pStyle w:val="ListParagraph"/>
        <w:numPr>
          <w:ilvl w:val="0"/>
          <w:numId w:val="1"/>
        </w:numPr>
        <w:spacing w:after="80"/>
      </w:pPr>
      <w:r>
        <w:t xml:space="preserve">SUPPLIER_PRICE_MASTER/TRANS, SUPPLIER_ON_BOARDING_* (7 tables), SUPPLIER_QUALITY_CONTROL, SUPPLIER_AUDIT, SUPPLIER_ROOT_CAUSE_ANALYSIS, and 8 further SUPPLIER_* tables — a generic supplier-relationship-management module (onboarding, scorecards, audits) that exists independently of Tools Management. Only the SUPPLIER master itself is used by this module, as already documented in Section 7.</w:t>
      </w:r>
    </w:p>
    <w:p>
      <w:pPr>
        <w:spacing w:after="160"/>
      </w:pPr>
      <w:r>
        <w:t xml:space="preserve">None of these are recommended for inclusion in the Tools Management scope. If any is later found to be needed, it should go through the same confirm-with-customer process as the Section 7 “New” tables, not be added by assumption.</w:t>
      </w:r>
    </w:p>
    <w:p>
      <w:pPr>
        <w:pStyle w:val="Heading2"/>
        <w:spacing w:after="120" w:before="240"/>
      </w:pPr>
      <w:r>
        <w:t xml:space="preserve">15.3 Candidate tables for the permissions model (not Tools Management data, but relevant to the build)</w:t>
      </w:r>
    </w:p>
    <w:p>
      <w:pPr>
        <w:spacing w:after="160"/>
      </w:pPr>
      <w:r>
        <w:t xml:space="preserve">Section 13 notes that the exact role list and permissions for Tools Management were not yet defined. The full export contains what appears to be the ERP's actual role/menu/permission model, which is the likely real source for ERP_USER.ROLE_NAME / ADD_ROLE_NAME referenced in Section 5:</w:t>
      </w:r>
    </w:p>
    <w:p>
      <w:pPr>
        <w:pStyle w:val="ListParagraph"/>
        <w:numPr>
          <w:ilvl w:val="0"/>
          <w:numId w:val="1"/>
        </w:numPr>
        <w:spacing w:after="80"/>
      </w:pPr>
      <w:r>
        <w:t xml:space="preserve">ERP_ROLE_MASTER — ROLE_ID, ROLE_NAME</w:t>
      </w:r>
    </w:p>
    <w:p>
      <w:pPr>
        <w:pStyle w:val="ListParagraph"/>
        <w:numPr>
          <w:ilvl w:val="0"/>
          <w:numId w:val="1"/>
        </w:numPr>
        <w:spacing w:after="80"/>
      </w:pPr>
      <w:r>
        <w:t xml:space="preserve">ERP_MAIN_MENU_USER_ROLE — links MENU_ID + ROLE_ID + USER_ID</w:t>
      </w:r>
    </w:p>
    <w:p>
      <w:pPr>
        <w:pStyle w:val="ListParagraph"/>
        <w:numPr>
          <w:ilvl w:val="0"/>
          <w:numId w:val="1"/>
        </w:numPr>
        <w:spacing w:after="80"/>
      </w:pPr>
      <w:r>
        <w:t xml:space="preserve">ERP_PAGE_ACCESS_MASTER — ACC_ID, ACCESS_TYPE</w:t>
      </w:r>
    </w:p>
    <w:p>
      <w:pPr>
        <w:pStyle w:val="ListParagraph"/>
        <w:numPr>
          <w:ilvl w:val="0"/>
          <w:numId w:val="1"/>
        </w:numPr>
        <w:spacing w:after="80"/>
      </w:pPr>
      <w:r>
        <w:t xml:space="preserve">ERP_PAGE_MENU_USER_ROLE, ERP_SUB_MENU_USER_ROLE, ERP_MENU, ERP_SUB_MENU, ERP_PAGE_MASTER</w:t>
      </w:r>
    </w:p>
    <w:p>
      <w:pPr>
        <w:spacing w:after="160"/>
      </w:pPr>
      <w:r>
        <w:t xml:space="preserve">These are infrastructure for the new application's auth/permission layer, not Tools Management functional data, and are called out separately from the 32-table module scope above. Recommend reviewing these with the ERP team as part of resolving the Section 13 role-model open item, rather than building a bespoke role model from scratch.</w:t>
      </w:r>
    </w:p>
    <w:p>
      <w:pPr>
        <w:pStyle w:val="Heading2"/>
        <w:spacing w:after="120" w:before="240"/>
      </w:pPr>
      <w:r>
        <w:t xml:space="preserve">15.4 Updated open item</w:t>
      </w:r>
    </w:p>
    <w:p>
      <w:pPr>
        <w:spacing w:after="160"/>
      </w:pPr>
      <w:r>
        <w:t xml:space="preserve">[RESOLVED — v6] GAUGE_SERIAL_NO (per-unit serial tracking for tools/gauges) and TOOLS_DETAILS (tool specification detail — cavity count, tool life, hardness) are confirmed to exist in the schema. Customer confirmed both are included in this release's Tools Manage scope.</w:t>
      </w:r>
    </w:p>
    <w:p>
      <w:pPr>
        <w:pStyle w:val="Heading1"/>
        <w:spacing w:after="160" w:before="360"/>
      </w:pPr>
      <w:r>
        <w:t xml:space="preserve">16. V6 Resolution Log — Status as of 7/22/2026</w:t>
      </w:r>
    </w:p>
    <w:p>
      <w:pPr>
        <w:spacing w:after="160"/>
      </w:pPr>
      <w:r>
        <w:t xml:space="preserve">This section is the single source of truth for what is resolved and what remains open, following the customer and ERP-team responses to the open items raised in Sections 12, 13, and 15. It supersedes the inline status notes scattered through those sections — those are left in place for audit history, but this section is where to look for current status as of v6. Section 17 (v7) supersedes this section in turn for anything touching the cross-company schema validation.</w:t>
      </w:r>
    </w:p>
    <w:p>
      <w:pPr>
        <w:pStyle w:val="Heading2"/>
        <w:spacing w:after="120" w:before="240"/>
      </w:pPr>
      <w:r>
        <w:t xml:space="preserve">16.1 Resolved</w:t>
      </w:r>
    </w:p>
    <w:p>
      <w:pPr>
        <w:pStyle w:val="ListParagraph"/>
        <w:numPr>
          <w:ilvl w:val="0"/>
          <w:numId w:val="1"/>
        </w:numPr>
        <w:spacing w:after="80"/>
      </w:pPr>
      <w:r>
        <w:t xml:space="preserve">GAUGE_CONTROL_CARD / GAUGE_CONTROL_CARD_TRANS missing primary key — verified 0 NULLs and 0 duplicates on live data. DBA has the ALTER TABLE scripts (Section 11.2) and execution is the only remaining step.</w:t>
      </w:r>
    </w:p>
    <w:p>
      <w:pPr>
        <w:pStyle w:val="ListParagraph"/>
        <w:numPr>
          <w:ilvl w:val="0"/>
          <w:numId w:val="1"/>
        </w:numPr>
        <w:spacing w:after="80"/>
      </w:pPr>
      <w:r>
        <w:t xml:space="preserve">EMPLOYEE table DDL — pulled directly. 61 columns confirmed, documented in Section 10. PASSWORD column flagged never read/write, same handling as ERP_USER.PASS.</w:t>
      </w:r>
    </w:p>
    <w:p>
      <w:pPr>
        <w:pStyle w:val="ListParagraph"/>
        <w:numPr>
          <w:ilvl w:val="0"/>
          <w:numId w:val="1"/>
        </w:numPr>
        <w:spacing w:after="80"/>
      </w:pPr>
      <w:r>
        <w:t xml:space="preserve">GAUGE_SERIAL_NO and TOOLS_DETAILS — confirmed to exist (Section 15.1) and customer has confirmed both are in scope for this release.</w:t>
      </w:r>
    </w:p>
    <w:p>
      <w:pPr>
        <w:pStyle w:val="ListParagraph"/>
        <w:numPr>
          <w:ilvl w:val="0"/>
          <w:numId w:val="1"/>
        </w:numPr>
        <w:spacing w:after="80"/>
      </w:pPr>
      <w:r>
        <w:t xml:space="preserve">SUP-000035 data gap — raised with the ERP data owner. Application proceeds with the “Unknown supplier” fallback (Section 11.1) regardless of the source-data outcome, so this does not block development.</w:t>
      </w:r>
    </w:p>
    <w:p>
      <w:pPr>
        <w:pStyle w:val="ListParagraph"/>
        <w:numPr>
          <w:ilvl w:val="0"/>
          <w:numId w:val="1"/>
        </w:numPr>
        <w:spacing w:after="80"/>
      </w:pPr>
      <w:r>
        <w:t xml:space="preserve">Scope confirmation — customer confirmed all 9 pending scope items: the 8 tables flagged “New” in Section 7 (Gauge Type, Tools Specification, Tools Price Master, Tools Consumption, Tools–Machine Mapping, Tools–Supplier Mapping, Tools PO Receive, Tools PO Schedule), plus GAUGE_SERIAL_NO and TOOLS_DETAILS. Full Tools Management scope was locked at 31 tables per this count (corrected to 32 in Section 17.6), all customer-approved.</w:t>
      </w:r>
    </w:p>
    <w:p>
      <w:pPr>
        <w:pStyle w:val="ListParagraph"/>
        <w:numPr>
          <w:ilvl w:val="0"/>
          <w:numId w:val="1"/>
        </w:numPr>
        <w:spacing w:after="80"/>
      </w:pPr>
      <w:r>
        <w:t xml:space="preserve">Write mechanism — database-level check confirmed zero triggers and zero stored procedures on any Tools/Gauge table, meaning direct writes will not bypass hidden DB logic. ERP team has separately confirmed the application-layer business rules (auto-numbering for DC_NO/GIR_NO/REC_NO, status-transition rules, calculated fields such as NEXT_C_DATE) that the new application needs to replicate.</w:t>
      </w:r>
    </w:p>
    <w:p>
      <w:pPr>
        <w:pStyle w:val="ListParagraph"/>
        <w:numPr>
          <w:ilvl w:val="0"/>
          <w:numId w:val="1"/>
        </w:numPr>
        <w:spacing w:after="80"/>
      </w:pPr>
      <w:r>
        <w:t xml:space="preserve">Dev team database access — approved by the ERP/infra team against the Section 9 access list. Provisioning to proceed; exact network path (VPN / VNet peering / firewall rule) to be finalized once hosting (Section 4) is selected.</w:t>
      </w:r>
    </w:p>
    <w:p>
      <w:pPr>
        <w:pStyle w:val="Heading2"/>
        <w:spacing w:after="120" w:before="240"/>
      </w:pPr>
      <w:r>
        <w:t xml:space="preserve">16.2 Open — sole remaining blocker as of v6</w:t>
      </w:r>
    </w:p>
    <w:p>
      <w:pPr>
        <w:spacing w:after="160"/>
      </w:pPr>
      <w:r>
        <w:t xml:space="preserve">ERP SSO validation mechanism — still unconfirmed whether token validation should be (a) a REST/introspection endpoint, (b) a shared session cookie, or (c) a locally-verified signed JWT. This is the only open item blocking finalization of the authentication/session layer. Development is proceeding against a stub interface (verifySsoToken) that defaults to REST introspection — the best-guess default based on this BRD's own Section 5 wording (“verifies the token server-side against ERP”) — so that front-end, non-auth API routes, and the data layer are not blocked while this is pending.</w:t>
      </w:r>
    </w:p>
    <w:p>
      <w:pPr>
        <w:pStyle w:val="Heading2"/>
        <w:spacing w:after="120" w:before="240"/>
      </w:pPr>
      <w:r>
        <w:t xml:space="preserve">16.3 Net effect as of v6</w:t>
      </w:r>
    </w:p>
    <w:p>
      <w:pPr>
        <w:spacing w:after="160"/>
      </w:pPr>
      <w:r>
        <w:t xml:space="preserve">With 16.1 resolved, full-scope development can proceed across all confirmed modules: Prisma schema generation against the complete table set, all master/lookup screens, and all transactional modules (Issue, Receive, Calibration, PO Receive, PO Schedule, Consumption). The only work item that cannot be finalized is the authentication middleware itself, which is isolated behind the verifySsoToken() interface so it can be swapped in without touching the rest of the application once answered.</w:t>
      </w:r>
    </w:p>
    <w:p>
      <w:pPr>
        <w:pStyle w:val="Heading1"/>
        <w:spacing w:after="160" w:before="360"/>
      </w:pPr>
      <w:r>
        <w:t xml:space="preserve">17. V7 Addendum — Independent Cross-Company Schema Validation (Manpro)</w:t>
      </w:r>
    </w:p>
    <w:p>
      <w:pPr>
        <w:spacing w:after="160"/>
      </w:pPr>
      <w:r>
        <w:t xml:space="preserve">On 7/26/2026, a full database export (856 CREATE TABLE statements) was obtained from a second, unrelated company — Manpro — running the same SUKI ERP product as ESSKAY, per direction from the MD to use it as a reference. This is not a new target schema to migrate to; it is an independent second copy of the same product, and was used purely to cross-check everything already documented in this BRD against a source with no shared history or shared assumptions with ESSKAY's export.</w:t>
      </w:r>
    </w:p>
    <w:p>
      <w:pPr>
        <w:pStyle w:val="Heading2"/>
        <w:spacing w:after="120" w:before="240"/>
      </w:pPr>
      <w:r>
        <w:t xml:space="preserve">17.1 Independent confirmation — 27 of 29 previously-documented tables match exactly</w:t>
      </w:r>
    </w:p>
    <w:p>
      <w:pPr>
        <w:spacing w:after="160"/>
      </w:pPr>
      <w:r>
        <w:t xml:space="preserve">Every core Tools/Gauge table already documented in Section 10, plus ERP_USER and GAUGE_TOOLS_ISSUE, was compared column-count-for-column-count and primary-key-for-primary-key against Manpro's copy. 27 of 29 are structurally identical. Critically, ERP_USER (14 columns) and GAUGE_TOOLS_ISSUE (36 columns) matched Manpro's copy field-for-field, name-for-name — an independent confirmation that the DDL supplied directly by the DBA for these two tables in v4 was accurate, from a source that had no involvement in that original hand-off.</w:t>
      </w:r>
    </w:p>
    <w:p>
      <w:pPr>
        <w:pStyle w:val="Heading2"/>
        <w:spacing w:after="120" w:before="240"/>
      </w:pPr>
      <w:r>
        <w:t xml:space="preserve">17.2 Genuine structural difference found — TOOLS_RECEIVE_FOR_CALIBRATION</w:t>
      </w:r>
    </w:p>
    <w:p>
      <w:pPr>
        <w:spacing w:after="160"/>
      </w:pPr>
      <w:r>
        <w:t xml:space="preserve">Manpro's version of this table has 23 columns against ESSKAY's 20 — 3 extra fields: PARTY_INV_NO, PARTY_INV_DT, PARTY_DC_DT. These track an external party/vendor's invoice and delivery-challan reference for calibration work done outside the company. This is the one place the two companies' schemas genuinely diverge, rather than one export simply being more complete than the other.</w:t>
      </w:r>
    </w:p>
    <w:p>
      <w:pPr>
        <w:spacing w:after="160"/>
      </w:pPr>
      <w:r>
        <w:t xml:space="preserve">Open item: confirm with the MD/customer whether ESSKAY's Tools Management needs external-calibration-vendor invoice tracking (i.e. should these 3 fields be added to ESSKAY's table, mirroring Manpro), or whether this is Manpro-specific functionality outside this project's scope. Do not add these fields speculatively — wait for confirmation.</w:t>
      </w:r>
    </w:p>
    <w:p>
      <w:pPr>
        <w:pStyle w:val="Heading2"/>
        <w:spacing w:after="120" w:before="240"/>
      </w:pPr>
      <w:r>
        <w:t xml:space="preserve">17.3 New finding — GAUGE_SERIAL_NO.REF_NO naming trap</w:t>
      </w:r>
    </w:p>
    <w:p>
      <w:pPr>
        <w:spacing w:after="160"/>
      </w:pPr>
      <w:r>
        <w:t xml:space="preserve">GAUGE_SERIAL_NO's own primary key is a column named REF_NO — the same name as GAUGEANDTOOLS.REF_NO (the tools master's primary key) — but it is a different, unrelated column. GAUGE_SERIAL_NO's actual link back to the tools master is a separate column, TOOL_REF_NO. Because the names collide, it would be easy for a developer or an AI coding agent to assume GAUGE_SERIAL_NO.REF_NO relates to GAUGEANDTOOLS.REF_NO — it does not. Any Prisma model, join, or agent prompt referencing GAUGE_SERIAL_NO must use TOOL_REF_NO for the master-table relationship, and treat REF_NO purely as this table's own row identity.</w:t>
      </w:r>
    </w:p>
    <w:p>
      <w:pPr>
        <w:spacing w:after="160"/>
      </w:pPr>
      <w:r>
        <w:t xml:space="preserve">TOOL_REF_NO's cleanliness against GAUGEANDTOOLS.REF_NO has not yet been verified with the same orphan-check pattern used in Section 11 — recommended before this relation is modeled in Prisma.</w:t>
      </w:r>
    </w:p>
    <w:p>
      <w:pPr>
        <w:pStyle w:val="Heading2"/>
        <w:spacing w:after="120" w:before="240"/>
      </w:pPr>
      <w:r>
        <w:t xml:space="preserve">17.4 New finding — GAUGE_SERIAL_NO.gir_no is lowercase in source DDL</w:t>
      </w:r>
    </w:p>
    <w:p>
      <w:pPr>
        <w:spacing w:after="160"/>
      </w:pPr>
      <w:r>
        <w:t xml:space="preserve">Unlike every other GIR_NO-style column in this schema (all uppercase), GAUGE_SERIAL_NO's column is declared as lowercase gir_no in both companies' DDL — confirmed consistent across ESSKAY-equivalent and Manpro, so this is a genuine, intentional naming inconsistency in the product itself, not a copy error. SQL Server column names are case-insensitive by default so this will not break queries, but Prisma's generated field name and any hand-written raw SQL should be double-checked to reference the exact case as declared.</w:t>
      </w:r>
    </w:p>
    <w:p>
      <w:pPr>
        <w:pStyle w:val="Heading2"/>
        <w:spacing w:after="120" w:before="240"/>
      </w:pPr>
      <w:r>
        <w:t xml:space="preserve">17.5 New structural gap — TOOLS_DETAILS has no primary key</w:t>
      </w:r>
    </w:p>
    <w:p>
      <w:pPr>
        <w:spacing w:after="160"/>
      </w:pPr>
      <w:r>
        <w:t xml:space="preserve">Same issue as GAUGE_CONTROL_CARD / GAUGE_CONTROL_CARD_TRANS (Section 11.2), now found in a third table. TOOLS_DETAILS has no PRIMARY KEY constraint in either company's DDL. Before this table can be introspected cleanly by Prisma, run the same NULL/duplicate-check pattern already used in Section 11.2:</w:t>
      </w:r>
    </w:p>
    <w:p>
      <w:pPr>
        <w:spacing w:after="160"/>
      </w:pPr>
      <w:r>
        <w:rPr>
          <w:sz w:val="18"/>
          <w:szCs w:val="18"/>
        </w:rPr>
        <w:t xml:space="preserve">SELECT TOOL_REF_NO, COUNT(*) FROM TOOLS_DETAILS GROUP BY TOOL_REF_NO HAVING COUNT(*) &gt; 1;</w:t>
      </w:r>
    </w:p>
    <w:p>
      <w:pPr>
        <w:spacing w:after="160"/>
      </w:pPr>
      <w:r>
        <w:rPr>
          <w:i/>
          <w:iCs/>
        </w:rPr>
        <w:t xml:space="preserve">If TOOL_REF_NO is unique with no NULLs, the same DBA request already made for GAUGE_CONTROL_CARD (Section 11.2) can be extended to this table. If TOOL_REF_NO has duplicates (i.e. a tool can have more than one TOOLS_DETAILS row — plausible, since fields like RUNNING_CAVITY and RUNNING_TOOL_LIFE look like they could be updated over time rather than fixed per tool), then TOOL_REF_NO alone is not a valid key and the right uniqueness constraint needs a conversation with the DBA, not a guess.</w:t>
      </w:r>
    </w:p>
    <w:p>
      <w:pPr>
        <w:pStyle w:val="Heading2"/>
        <w:spacing w:after="120" w:before="240"/>
      </w:pPr>
      <w:r>
        <w:t xml:space="preserve">17.6 Corrected table count</w:t>
      </w:r>
    </w:p>
    <w:p>
      <w:pPr>
        <w:spacing w:after="160"/>
      </w:pPr>
      <w:r>
        <w:rPr>
          <w:b/>
          <w:bCs/>
        </w:rPr>
        <w:t xml:space="preserve">The v6 Section 15.1 / 16.1 count of 31 tables did not separately add GAUGE_TOOLS_ISSUE to its sum. The corrected, complete Tools Management footprint is 32 tables: the 27 originally exported from script.sql, plus ERP_USER, GAUGE_TOOLS_ISSUE, EMPLOYEE, GAUGE_SERIAL_NO, and TOOLS_DETAILS. This is a documentation correction only — no table was missed in the actual scope or access list, which already listed all 32.</w:t>
      </w:r>
    </w:p>
    <w:p>
      <w:pPr>
        <w:pStyle w:val="Heading2"/>
        <w:spacing w:after="120" w:before="240"/>
      </w:pPr>
      <w:r>
        <w:t xml:space="preserve">17.7 Net effect as of v7</w:t>
      </w:r>
    </w:p>
    <w:p>
      <w:pPr>
        <w:spacing w:after="160"/>
      </w:pPr>
      <w:r>
        <w:t xml:space="preserve">The cross-company comparison substantially increases confidence in everything already documented — 27 of 29 tables matched exactly from a source with no shared assumptions, which is strong independent validation rather than a new risk. Three concrete, actionable items came out of it: (1) confirm whether ESSKAY needs the 3 extra TOOLS_RECEIVE_FOR_CALIBRATION fields, (2) run the NULL/duplicate check on TOOLS_DETAILS before requesting its primary key, and (3) apply the GAUGE_SERIAL_NO.REF_NO naming caution to any Prisma model or agent prompt touching that table. None of these block development starting on the 29 tables unaffected by this addendum.</w:t>
      </w:r>
    </w:p>
    <w:p>
      <w:pPr>
        <w:pStyle w:val="Heading1"/>
        <w:spacing w:after="160" w:before="360"/>
      </w:pPr>
      <w:r>
        <w:t xml:space="preserve">18. Open Items — Updated for v7</w:t>
      </w:r>
    </w:p>
    <w:p>
      <w:pPr>
        <w:pStyle w:val="ListParagraph"/>
        <w:numPr>
          <w:ilvl w:val="0"/>
          <w:numId w:val="1"/>
        </w:numPr>
        <w:spacing w:after="80"/>
      </w:pPr>
      <w:r>
        <w:t xml:space="preserve">ERP SSO validation mechanism (Section 16.2) — still the sole blocker on the authentication layer itself. Unaffected by this addendum.</w:t>
      </w:r>
    </w:p>
    <w:p>
      <w:pPr>
        <w:pStyle w:val="ListParagraph"/>
        <w:numPr>
          <w:ilvl w:val="0"/>
          <w:numId w:val="1"/>
        </w:numPr>
        <w:spacing w:after="80"/>
      </w:pPr>
      <w:r>
        <w:t xml:space="preserve">Confirm whether ESSKAY's TOOLS_RECEIVE_FOR_CALIBRATION needs the 3 extra fields found in Manpro's copy (PARTY_INV_NO, PARTY_INV_DT, PARTY_DC_DT) — Section 17.2.</w:t>
      </w:r>
    </w:p>
    <w:p>
      <w:pPr>
        <w:pStyle w:val="ListParagraph"/>
        <w:numPr>
          <w:ilvl w:val="0"/>
          <w:numId w:val="1"/>
        </w:numPr>
        <w:spacing w:after="80"/>
      </w:pPr>
      <w:r>
        <w:t xml:space="preserve">Run the NULL/duplicate check on TOOLS_DETAILS.TOOL_REF_NO (Section 17.5) before requesting a primary key from the DBA.</w:t>
      </w:r>
    </w:p>
    <w:p>
      <w:pPr>
        <w:pStyle w:val="ListParagraph"/>
        <w:numPr>
          <w:ilvl w:val="0"/>
          <w:numId w:val="1"/>
        </w:numPr>
        <w:spacing w:after="80"/>
      </w:pPr>
      <w:r>
        <w:t xml:space="preserve">Run the standard orphan-check pattern (Section 11) on GAUGE_SERIAL_NO.TOOL_REF_NO against GAUGEANDTOOLS.REF_NO — not yet done for this table.</w:t>
      </w:r>
    </w:p>
    <w:p>
      <w:pPr>
        <w:pStyle w:val="ListParagraph"/>
        <w:numPr>
          <w:ilvl w:val="0"/>
          <w:numId w:val="1"/>
        </w:numPr>
        <w:spacing w:after="80"/>
      </w:pPr>
      <w:r>
        <w:t xml:space="preserve">Get ESSKAY's own EMPLOYEE DDL directly at some point, even though Manpro's cross-validated copy is currently a reliable stand-in — low priority given the exact match already found on two other tables.</w:t>
      </w:r>
    </w:p>
    <w:p>
      <w:pPr>
        <w:pStyle w:val="ListParagraph"/>
        <w:numPr>
          <w:ilvl w:val="0"/>
          <w:numId w:val="1"/>
        </w:numPr>
        <w:spacing w:after="80"/>
      </w:pPr>
      <w:r>
        <w:t xml:space="preserve">Confirm priority/phasing across modules if a full simultaneous release is not feasible given the urgency.</w:t>
      </w:r>
    </w:p>
    <w:p>
      <w:pPr>
        <w:pStyle w:val="ListParagraph"/>
        <w:numPr>
          <w:ilvl w:val="0"/>
          <w:numId w:val="1"/>
        </w:numPr>
        <w:spacing w:after="80"/>
      </w:pPr>
      <w:r>
        <w:t xml:space="preserve">Confirm reporting requirements: export formats (PDF/Excel), dashboards, and any compliance/audit formatting needed for calibration certificates.</w:t>
      </w:r>
    </w:p>
    <w:p>
      <w:pPr>
        <w:pStyle w:val="ListParagraph"/>
        <w:numPr>
          <w:ilvl w:val="0"/>
          <w:numId w:val="1"/>
        </w:numPr>
        <w:spacing w:after="80"/>
      </w:pPr>
      <w:r>
        <w:t xml:space="preserve">Confirm UI reference/branding guidelines, and whether the application needs to be responsive for mobile/tablet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20" w:before="220"/>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016c1c90077e424dfc7611c3cf3afae17e25ab.png"/><Relationship Id="rId8" Type="http://schemas.openxmlformats.org/officeDocument/2006/relationships/image" Target="media/c387505f1e5de519c29a23b3f49dd680abc02cd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2026-07-26T05:30:42.935Z</dcterms:created>
  <dcterms:modified xsi:type="dcterms:W3CDTF">2026-07-26T05:30:42.956Z</dcterms:modified>
</cp:coreProperties>
</file>

<file path=docProps/custom.xml><?xml version="1.0" encoding="utf-8"?>
<Properties xmlns="http://schemas.openxmlformats.org/officeDocument/2006/custom-properties" xmlns:vt="http://schemas.openxmlformats.org/officeDocument/2006/docPropsVTypes"/>
</file>