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PROJECT CHARTER</w:t>
      </w:r>
    </w:p>
    <w:p>
      <w:pPr>
        <w:spacing w:after="260"/>
        <w:jc w:val="center"/>
      </w:pPr>
      <w:r>
        <w:rPr>
          <w:i/>
          <w:iCs/>
          <w:color w:val="595959"/>
          <w:sz w:val="26"/>
          <w:szCs w:val="26"/>
        </w:rPr>
        <w:t xml:space="preserve">Household Budget Optimization Initiative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Sponsor / Owner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Dhayanithi Ramaraj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Dhayanithi Ramaraj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Household members (immediate family)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January 2026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Completion Date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March 2026 (12-week cycle)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Purpose and Background</w:t>
      </w:r>
    </w:p>
    <w:p>
      <w:pPr>
        <w:spacing w:after="120"/>
      </w:pPr>
      <w:r>
        <w:rPr>
          <w:sz w:val="21"/>
          <w:szCs w:val="21"/>
        </w:rPr>
        <w:t xml:space="preserve">Household discretionary spending had grown inconsistent month to month, with no shared visibility into where money was going or why. This project applies standard project management practice, a charter, a defined scope, a tracked budget, and a formal closeout, to bring structure to household finances and produce a measurable, repeatable process.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Objectives and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Reduce average monthly discretionary spend by 15% within the 12-week project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Establish a single source of truth for income, fixed costs, and variable spend, updated weekly.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Identify and eliminate at least 3 recurring costs with no corresponding value (unused subscriptions, avoidable fees, duplicate services).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a repeatable monthly review process the household can sustain after the project closes.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Scope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Tracking of all household income and expense categories on a weekly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Variance analysis comparing budgeted vs. actual spend by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dashboard summarizing spend trends and savings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final closeout report comparing outcomes against the objectives above.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Investment planning, tax strategy, and long-term retirement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Debt restructuring or refinancing decisions.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Timeline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9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Charter approved, baseline budget set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Jan 2026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Signed charter, Week 0 baseline in tracker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 review (Weeks 1-4)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Feb 2026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Variance report, early course correction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 review (Weeks 5-8)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Mar 2026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 variance report, subscription audit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closeout (Weeks 9-12)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Mar 2026</w:t>
            </w:r>
          </w:p>
        </w:tc>
        <w:tc>
          <w:tcPr>
            <w:tcW w:type="dxa" w:w="3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report, savings achieved vs. target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Budget and Resources</w:t>
      </w:r>
    </w:p>
    <w:p>
      <w:pPr>
        <w:spacing w:after="120"/>
      </w:pPr>
      <w:r>
        <w:rPr>
          <w:sz w:val="21"/>
          <w:szCs w:val="21"/>
        </w:rPr>
        <w:t xml:space="preserve">No external budget is allocated to this project; the deliverable is a change in spending behavior, tracked in a shared spreadsheet. Resources required: 30-45 minutes weekly for data entry and review, one household member designated as data owner.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Risks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356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56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Irregular or unexpected expenses distort variance data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 a separate one-off expense category, excluded from recurring variance calculations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weekly data entry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Fixed weekly reminder; data owner accountable for entry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Household resistance to reduced discretionary spend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targets collaboratively; review progress together, not unilaterally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7. Approval</w:t>
      </w:r>
    </w:p>
    <w:p>
      <w:pPr>
        <w:spacing w:after="120"/>
      </w:pPr>
      <w:r>
        <w:rPr>
          <w:sz w:val="21"/>
          <w:szCs w:val="21"/>
        </w:rPr>
        <w:t xml:space="preserve">This charter was reviewed and approved by all identified stakeholders prior to project start.</w:t>
      </w:r>
    </w:p>
    <w:p>
      <w:pPr>
        <w:spacing w:before="300"/>
      </w:pPr>
      <w:r>
        <w:rPr>
          <w:sz w:val="21"/>
          <w:szCs w:val="21"/>
        </w:rPr>
        <w:t xml:space="preserve">Prepared by: Dhayanithi Ramaraj</w:t>
      </w:r>
    </w:p>
    <w:p>
      <w:r>
        <w:rPr>
          <w:sz w:val="21"/>
          <w:szCs w:val="21"/>
        </w:rPr>
        <w:t xml:space="preserve">Date: 6 January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2026-08-10T06:36:59.232Z</dcterms:created>
  <dcterms:modified xsi:type="dcterms:W3CDTF">2026-08-10T06:36:59.349Z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