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R. </w:t>
            </w:r>
            <w:r>
              <w:rPr>
                <w:b/>
                <w:lang w:val="en-US"/>
              </w:rPr>
              <w:t>Dhayanithi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  <w:r>
              <w:rPr>
                <w:b/>
                <w:lang w:val="en-US"/>
              </w:rPr>
              <w:t xml:space="preserve">   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621421106011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1" type="#_x0000_t75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88922cab-a9a2-4551-a7d0-af079d3abe82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d37c0531-2181-4b5a-a8fb-be13576b8d0e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f71b0f75-3cf3-449a-97ee-7895b37a8498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46b52014-1cee-43c1-a180-1ae4b86f05c8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4456775f-f7a6-4c33-8501-c1db07174ef0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4fed3f41-917b-4aad-b8a6-180d0f290c6e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490</Words>
  <Pages>5</Pages>
  <Characters>2529</Characters>
  <Application>WPS Office</Application>
  <DocSecurity>0</DocSecurity>
  <Paragraphs>92</Paragraphs>
  <ScaleCrop>false</ScaleCrop>
  <LinksUpToDate>false</LinksUpToDate>
  <CharactersWithSpaces>3004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SM-A605G</lastModifiedBy>
  <dcterms:modified xsi:type="dcterms:W3CDTF">2023-11-16T10:36:12Z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2a74374864904b048067a3f5e94d8b7f</vt:lpwstr>
  </property>
</Properties>
</file>