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highlight w:val="white"/>
                <w:rtl w:val="0"/>
              </w:rPr>
              <w:t xml:space="preserve">SWTID1741146978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0E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solution architecture for the Fitness Web Application ensures a scalable, efficient, and user-friendly platform for discovering and accessing exercise routines based on body parts and equipment.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Goals of the Solution Architecture: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the Best Tech Solution: Utilize modern front-end frameworks and APIs to provide a seamless fitness discovery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Structure &amp; Characteristics: Ensure modular, scalable, and maintainable software architecture for future enhancements.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Outline Features &amp; Development Phases: Clearly structure project milestones for effective development and 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Establish Specifications for Development &amp; Delivery: Provide well-defined guidelines for the system's architecture, API integration, and data 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619125</wp:posOffset>
            </wp:positionH>
            <wp:positionV relativeFrom="paragraph">
              <wp:posOffset>369574</wp:posOffset>
            </wp:positionV>
            <wp:extent cx="4486275" cy="3554724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