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</w:rPr>
        <w:t>STATIC TIMING ANALYSIS</w:t>
      </w:r>
    </w:p>
    <w:p>
      <w:pPr>
        <w:pStyle w:val="Title"/>
        <w:jc w:val="center"/>
      </w:pPr>
      <w:r>
        <w:t>16-Liberty-Model STA Assessment</w:t>
      </w:r>
    </w:p>
    <w:p>
      <w:pPr>
        <w:jc w:val="center"/>
      </w:pPr>
      <w:r>
        <w:rPr>
          <w:i/>
        </w:rPr>
        <w:t>Escrow Release Controller | SKY130 HD | OpenSTA 2.4.0</w:t>
      </w:r>
    </w:p>
    <w:p>
      <w:pPr>
        <w:pStyle w:val="Heading1"/>
      </w:pPr>
      <w:r>
        <w:t>1. Executive summary</w:t>
      </w:r>
    </w:p>
    <w:p>
      <w:r>
        <w:t>The setup WNS ranges from -5.86 ns to +7.26 ns. The worst reported setup result is -5.86 ns at sky130_fd_sc_hd__ss_n40C_1v28, indicating a setup violation under the current constraints. Worst hold slack is positive in all 16 rows, ranging from +0.30 ns to +1.69 ns. All results remain REVIEW.</w:t>
      </w:r>
    </w:p>
    <w:p>
      <w:r>
        <w:t>TNS (total negative slack) was not captured in the supplied summary/log output. It is therefore marked NOT CAPTURED—not zero. The WNS graph is included; a numeric TNS graph requires rerunning the sweep with a TNS reporting command.</w:t>
      </w:r>
    </w:p>
    <w:p>
      <w:pPr>
        <w:pStyle w:val="Heading1"/>
      </w:pPr>
      <w:r>
        <w:t>2. Methodology</w:t>
      </w:r>
    </w:p>
    <w:p>
      <w:pPr>
        <w:pStyle w:val="ListBullet"/>
      </w:pPr>
      <w:r>
        <w:t>OpenSTA 2.4.0.</w:t>
      </w:r>
    </w:p>
    <w:p>
      <w:pPr>
        <w:pStyle w:val="ListBullet"/>
      </w:pPr>
      <w:r>
        <w:t>Clock period: 10 ns.</w:t>
      </w:r>
    </w:p>
    <w:p>
      <w:pPr>
        <w:pStyle w:val="ListBullet"/>
      </w:pPr>
      <w:r>
        <w:t>Input delay: 2 ns; output delay: 2 ns.</w:t>
      </w:r>
    </w:p>
    <w:p>
      <w:pPr>
        <w:pStyle w:val="ListBullet"/>
      </w:pPr>
      <w:r>
        <w:t>Propagated clocks enabled.</w:t>
      </w:r>
    </w:p>
    <w:p>
      <w:pPr>
        <w:pStyle w:val="ListBullet"/>
      </w:pPr>
      <w:r>
        <w:t>Routed SPEF from the existing physical-design run.</w:t>
      </w:r>
    </w:p>
    <w:p>
      <w:pPr>
        <w:pStyle w:val="ListBullet"/>
      </w:pPr>
      <w:r>
        <w:t>The same routed SPEF was reused for all 16 Liberty models.</w:t>
      </w:r>
    </w:p>
    <w:p>
      <w:r>
        <w:t>This is a preliminary multi-model timing assessment, not a signoff-validated PVT matrix. Timing constraints have not been independently validated for signoff.</w:t>
      </w:r>
    </w:p>
    <w:p>
      <w:pPr>
        <w:pStyle w:val="Heading1"/>
      </w:pPr>
      <w:r>
        <w:t>3. Setup WNS by Liberty model</w:t>
      </w:r>
    </w:p>
    <w:p>
      <w:r>
        <w:drawing>
          <wp:inline xmlns:a="http://schemas.openxmlformats.org/drawingml/2006/main" xmlns:pic="http://schemas.openxmlformats.org/drawingml/2006/picture">
            <wp:extent cx="6400800" cy="3006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wns_by_cor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Setup WNS by model. Negative values indicate setup violations. TNS is not plotted because it was not captured.</w:t>
      </w:r>
    </w:p>
    <w:p>
      <w:pPr>
        <w:pStyle w:val="Heading1"/>
      </w:pPr>
      <w:r>
        <w:t>4.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Liberty model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Setup WNS (ns)</w:t>
            </w:r>
          </w:p>
        </w:tc>
        <w:tc>
          <w:tcPr>
            <w:tcW w:type="dxa" w:w="2556"/>
          </w:tcPr>
          <w:p>
            <w:r>
              <w:rPr>
                <w:b/>
              </w:rPr>
              <w:t>Hold worst slack (ns)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t>ff_100C_1v65</w:t>
            </w:r>
          </w:p>
        </w:tc>
        <w:tc>
          <w:tcPr>
            <w:tcW w:type="dxa" w:w="2556"/>
          </w:tcPr>
          <w:p>
            <w:r>
              <w:t>+7.05</w:t>
            </w:r>
          </w:p>
        </w:tc>
        <w:tc>
          <w:tcPr>
            <w:tcW w:type="dxa" w:w="2556"/>
          </w:tcPr>
          <w:p>
            <w:r>
              <w:t>+0.39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ff_100C_1v95</w:t>
            </w:r>
          </w:p>
        </w:tc>
        <w:tc>
          <w:tcPr>
            <w:tcW w:type="dxa" w:w="2556"/>
          </w:tcPr>
          <w:p>
            <w:r>
              <w:t>+7.26</w:t>
            </w:r>
          </w:p>
        </w:tc>
        <w:tc>
          <w:tcPr>
            <w:tcW w:type="dxa" w:w="2556"/>
          </w:tcPr>
          <w:p>
            <w:r>
              <w:t>+0.31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ff_n40C_1v56</w:t>
            </w:r>
          </w:p>
        </w:tc>
        <w:tc>
          <w:tcPr>
            <w:tcW w:type="dxa" w:w="2556"/>
          </w:tcPr>
          <w:p>
            <w:r>
              <w:t>+6.79</w:t>
            </w:r>
          </w:p>
        </w:tc>
        <w:tc>
          <w:tcPr>
            <w:tcW w:type="dxa" w:w="2556"/>
          </w:tcPr>
          <w:p>
            <w:r>
              <w:t>+0.45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ff_n40C_1v65</w:t>
            </w:r>
          </w:p>
        </w:tc>
        <w:tc>
          <w:tcPr>
            <w:tcW w:type="dxa" w:w="2556"/>
          </w:tcPr>
          <w:p>
            <w:r>
              <w:t>+6.95</w:t>
            </w:r>
          </w:p>
        </w:tc>
        <w:tc>
          <w:tcPr>
            <w:tcW w:type="dxa" w:w="2556"/>
          </w:tcPr>
          <w:p>
            <w:r>
              <w:t>+0.40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ff_n40C_1v76</w:t>
            </w:r>
          </w:p>
        </w:tc>
        <w:tc>
          <w:tcPr>
            <w:tcW w:type="dxa" w:w="2556"/>
          </w:tcPr>
          <w:p>
            <w:r>
              <w:t>+7.09</w:t>
            </w:r>
          </w:p>
        </w:tc>
        <w:tc>
          <w:tcPr>
            <w:tcW w:type="dxa" w:w="2556"/>
          </w:tcPr>
          <w:p>
            <w:r>
              <w:t>+0.35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ff_n40C_1v95</w:t>
            </w:r>
          </w:p>
        </w:tc>
        <w:tc>
          <w:tcPr>
            <w:tcW w:type="dxa" w:w="2556"/>
          </w:tcPr>
          <w:p>
            <w:r>
              <w:t>+7.25</w:t>
            </w:r>
          </w:p>
        </w:tc>
        <w:tc>
          <w:tcPr>
            <w:tcW w:type="dxa" w:w="2556"/>
          </w:tcPr>
          <w:p>
            <w:r>
              <w:t>+0.30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ss_100C_1v40</w:t>
            </w:r>
          </w:p>
        </w:tc>
        <w:tc>
          <w:tcPr>
            <w:tcW w:type="dxa" w:w="2556"/>
          </w:tcPr>
          <w:p>
            <w:r>
              <w:t>+3.91</w:t>
            </w:r>
          </w:p>
        </w:tc>
        <w:tc>
          <w:tcPr>
            <w:tcW w:type="dxa" w:w="2556"/>
          </w:tcPr>
          <w:p>
            <w:r>
              <w:t>+1.43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ss_100C_1v60</w:t>
            </w:r>
          </w:p>
        </w:tc>
        <w:tc>
          <w:tcPr>
            <w:tcW w:type="dxa" w:w="2556"/>
          </w:tcPr>
          <w:p>
            <w:r>
              <w:t>+5.29</w:t>
            </w:r>
          </w:p>
        </w:tc>
        <w:tc>
          <w:tcPr>
            <w:tcW w:type="dxa" w:w="2556"/>
          </w:tcPr>
          <w:p>
            <w:r>
              <w:t>+0.99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ss_n40C_1v28</w:t>
            </w:r>
          </w:p>
        </w:tc>
        <w:tc>
          <w:tcPr>
            <w:tcW w:type="dxa" w:w="2556"/>
          </w:tcPr>
          <w:p>
            <w:r>
              <w:t>-5.86</w:t>
            </w:r>
          </w:p>
        </w:tc>
        <w:tc>
          <w:tcPr>
            <w:tcW w:type="dxa" w:w="2556"/>
          </w:tcPr>
          <w:p>
            <w:r>
              <w:t>+1.48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ss_n40C_1v35</w:t>
            </w:r>
          </w:p>
        </w:tc>
        <w:tc>
          <w:tcPr>
            <w:tcW w:type="dxa" w:w="2556"/>
          </w:tcPr>
          <w:p>
            <w:r>
              <w:t>-0.86</w:t>
            </w:r>
          </w:p>
        </w:tc>
        <w:tc>
          <w:tcPr>
            <w:tcW w:type="dxa" w:w="2556"/>
          </w:tcPr>
          <w:p>
            <w:r>
              <w:t>+1.63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ss_n40C_1v40</w:t>
            </w:r>
          </w:p>
        </w:tc>
        <w:tc>
          <w:tcPr>
            <w:tcW w:type="dxa" w:w="2556"/>
          </w:tcPr>
          <w:p>
            <w:r>
              <w:t>+1.31</w:t>
            </w:r>
          </w:p>
        </w:tc>
        <w:tc>
          <w:tcPr>
            <w:tcW w:type="dxa" w:w="2556"/>
          </w:tcPr>
          <w:p>
            <w:r>
              <w:t>+1.69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ss_n40C_1v44</w:t>
            </w:r>
          </w:p>
        </w:tc>
        <w:tc>
          <w:tcPr>
            <w:tcW w:type="dxa" w:w="2556"/>
          </w:tcPr>
          <w:p>
            <w:r>
              <w:t>+2.59</w:t>
            </w:r>
          </w:p>
        </w:tc>
        <w:tc>
          <w:tcPr>
            <w:tcW w:type="dxa" w:w="2556"/>
          </w:tcPr>
          <w:p>
            <w:r>
              <w:t>+1.56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ss_n40C_1v60</w:t>
            </w:r>
          </w:p>
        </w:tc>
        <w:tc>
          <w:tcPr>
            <w:tcW w:type="dxa" w:w="2556"/>
          </w:tcPr>
          <w:p>
            <w:r>
              <w:t>+4.92</w:t>
            </w:r>
          </w:p>
        </w:tc>
        <w:tc>
          <w:tcPr>
            <w:tcW w:type="dxa" w:w="2556"/>
          </w:tcPr>
          <w:p>
            <w:r>
              <w:t>+1.03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ss_n40C_1v76</w:t>
            </w:r>
          </w:p>
        </w:tc>
        <w:tc>
          <w:tcPr>
            <w:tcW w:type="dxa" w:w="2556"/>
          </w:tcPr>
          <w:p>
            <w:r>
              <w:t>+5.84</w:t>
            </w:r>
          </w:p>
        </w:tc>
        <w:tc>
          <w:tcPr>
            <w:tcW w:type="dxa" w:w="2556"/>
          </w:tcPr>
          <w:p>
            <w:r>
              <w:t>+0.75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tt_025C_1v80</w:t>
            </w:r>
          </w:p>
        </w:tc>
        <w:tc>
          <w:tcPr>
            <w:tcW w:type="dxa" w:w="2556"/>
          </w:tcPr>
          <w:p>
            <w:r>
              <w:t>+6.72</w:t>
            </w:r>
          </w:p>
        </w:tc>
        <w:tc>
          <w:tcPr>
            <w:tcW w:type="dxa" w:w="2556"/>
          </w:tcPr>
          <w:p>
            <w:r>
              <w:t>+0.47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tt_100C_1v80</w:t>
            </w:r>
          </w:p>
        </w:tc>
        <w:tc>
          <w:tcPr>
            <w:tcW w:type="dxa" w:w="2556"/>
          </w:tcPr>
          <w:p>
            <w:r>
              <w:t>+6.74</w:t>
            </w:r>
          </w:p>
        </w:tc>
        <w:tc>
          <w:tcPr>
            <w:tcW w:type="dxa" w:w="2556"/>
          </w:tcPr>
          <w:p>
            <w:r>
              <w:t>+0.48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</w:tbl>
    <w:p>
      <w:pPr>
        <w:pStyle w:val="Heading1"/>
      </w:pPr>
      <w:r>
        <w:t>5. Critical setup path</w:t>
      </w:r>
    </w:p>
    <w:p>
      <w:r>
        <w:t>At sky130_fd_sc_hd__ss_n40C_1v28, the critical path starts at _116_ (timeout_count_q[0]) and ends at _120_ (timeout_count_q[4]). Data arrival is 15.71 ns, data required time is 9.84 ns, and setup slack is -5.86 ns. The largest incremental delay in the supplied path listing is 5.67 ns at _060_ (sky130_fd_sc_hd__or4b_4). This identifies an investigation point but does not prove that one RTL expression alone causes the violation.</w:t>
      </w:r>
    </w:p>
    <w:p>
      <w:pPr>
        <w:pStyle w:val="Heading1"/>
      </w:pPr>
      <w:r>
        <w:t>6. Excluded model variants</w:t>
      </w:r>
    </w:p>
    <w:p>
      <w:r>
        <w:t>Excluded from the 16-model sweep:</w:t>
      </w:r>
    </w:p>
    <w:p>
      <w:pPr>
        <w:pStyle w:val="ListBullet"/>
      </w:pPr>
      <w:r>
        <w:t>sky130_fd_sc_hd__ff_n40C_1v95_ccsnoise.lib</w:t>
      </w:r>
    </w:p>
    <w:p>
      <w:pPr>
        <w:pStyle w:val="ListBullet"/>
      </w:pPr>
      <w:r>
        <w:t>sky130_fd_sc_hd__ss_n40C_1v60_ccsnoise.lib</w:t>
      </w:r>
    </w:p>
    <w:p>
      <w:r>
        <w:t>These are excluded CCS-noise model variants, not additional PVT corners.</w:t>
      </w:r>
    </w:p>
    <w:p>
      <w:pPr>
        <w:pStyle w:val="Heading1"/>
      </w:pPr>
      <w:r>
        <w:t>7. Warnings and limitations</w:t>
      </w:r>
    </w:p>
    <w:p>
      <w:pPr>
        <w:pStyle w:val="ListBullet"/>
      </w:pPr>
      <w:r>
        <w:t>OpenSTA reported sky130_fd_sc_hd__tapvpwrvgnd_1 unavailable in the linked netlist and created a black box for PHY_28.</w:t>
      </w:r>
    </w:p>
    <w:p>
      <w:pPr>
        <w:pStyle w:val="ListBullet"/>
      </w:pPr>
      <w:r>
        <w:t>Liberty warning: default_fanout_load = 0.0.</w:t>
      </w:r>
    </w:p>
    <w:p>
      <w:pPr>
        <w:pStyle w:val="ListBullet"/>
      </w:pPr>
      <w:r>
        <w:t>Same routed SPEF reused across all models.</w:t>
      </w:r>
    </w:p>
    <w:p>
      <w:pPr>
        <w:pStyle w:val="ListBullet"/>
      </w:pPr>
      <w:r>
        <w:t>Timing constraints need independent validation.</w:t>
      </w:r>
    </w:p>
    <w:p>
      <w:pPr>
        <w:pStyle w:val="ListBullet"/>
      </w:pPr>
      <w:r>
        <w:t>TNS was not captured in the supplied output.</w:t>
      </w:r>
    </w:p>
    <w:p>
      <w:pPr>
        <w:pStyle w:val="Heading1"/>
      </w:pPr>
      <w:r>
        <w:t>8. Required follow-up for WNS/TNS graph</w:t>
      </w:r>
    </w:p>
    <w:p>
      <w:r>
        <w:t>Update the per-corner OpenSTA Tcl script to emit total negative slack for setup, rerun the 16-model sweep, and regenerate the CSV, graph, and report. Do not substitute WNS for TNS or assume TNS is zero.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