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A67A" w14:textId="3E65A2C3" w:rsidR="00F147B0" w:rsidRDefault="00056BF2">
      <w:pPr>
        <w:spacing w:after="0" w:line="360" w:lineRule="auto"/>
      </w:pPr>
      <w:hyperlink r:id="rId5" w:history="1">
        <w:r w:rsidRPr="008D47A0">
          <w:rPr>
            <w:rStyle w:val="Hyperlink"/>
          </w:rPr>
          <w:t>https://orionpeptides.org/where-is-the-best-place-to-inject-cjc-1295-no-dac/</w:t>
        </w:r>
      </w:hyperlink>
    </w:p>
    <w:p w14:paraId="41ED1BDE" w14:textId="77777777" w:rsidR="00056BF2" w:rsidRDefault="00056BF2">
      <w:pPr>
        <w:spacing w:after="0" w:line="360" w:lineRule="auto"/>
      </w:pPr>
    </w:p>
    <w:p w14:paraId="1A3A1B23" w14:textId="77777777" w:rsidR="00056BF2" w:rsidRDefault="00056BF2">
      <w:pPr>
        <w:spacing w:after="0" w:line="360" w:lineRule="auto"/>
      </w:pPr>
    </w:p>
    <w:p w14:paraId="4C0078B3" w14:textId="77777777" w:rsidR="00F147B0"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492357D3" w14:textId="77777777" w:rsidR="00F147B0" w:rsidRDefault="00000000">
      <w:pPr>
        <w:spacing w:after="210" w:line="360" w:lineRule="auto"/>
      </w:pPr>
      <w:r>
        <w:rPr>
          <w:rFonts w:eastAsia="Georgia" w:hAnsi="Georgia" w:cs="Georgia"/>
          <w:color w:val="000000"/>
        </w:rPr>
        <w:t>Where is the best place to inject CJC-1295 (No DAC)? What Does the Research Say?</w:t>
      </w:r>
      <w:r>
        <w:rPr>
          <w:rFonts w:eastAsia="Georgia" w:hAnsi="Georgia" w:cs="Georgia"/>
          <w:color w:val="000000"/>
        </w:rPr>
        <w:br/>
      </w:r>
      <w:hyperlink r:id="rId6">
        <w:r w:rsidR="00F147B0">
          <w:rPr>
            <w:rFonts w:ascii="Helvetica Neue" w:eastAsia="Helvetica Neue" w:hAnsi="Helvetica Neue" w:cs="Helvetica Neue"/>
            <w:u w:val="single"/>
          </w:rPr>
          <w:t>CJC-1295 No DAC</w:t>
        </w:r>
      </w:hyperlink>
      <w:r>
        <w:rPr>
          <w:rFonts w:eastAsia="Georgia" w:hAnsi="Georgia" w:cs="Georgia"/>
          <w:color w:val="000000"/>
        </w:rPr>
        <w:t> (GRF 1-29) is a synthetic analog of growth hormone-releasing hormone (GHRH) that is being investigated in laboratory and preclinical studies due to its capacity to induce pulsatile growth hormone (GH) secretion by the pituitary gland. Having a very short half-life of about 30 minutes, it is being explored as capable of replicating the natural GH rhythms without stimulating the receptor over a long period.</w:t>
      </w:r>
      <w:r>
        <w:rPr>
          <w:rFonts w:eastAsia="Georgia" w:hAnsi="Georgia" w:cs="Georgia"/>
          <w:color w:val="000000"/>
        </w:rPr>
        <w:br/>
        <w:t>Critical disclaimer: CJC-1295 No DAC is a research peptide that has only been used in in vivo and in vitro as well as controlled preclinical models of laboratory research. The FDA, EMA, MHRA, and any other regulatory authority have not approved it to be used by humans in therapeutic form, as a self-administered drug, or as a treatment. The data provided in this blog is solely based on published research and protocol guidelines to use in educational and scientific purposes. It is not medical advice, and its misuse outside a research setting may be dangerous to health.</w:t>
      </w:r>
      <w:r>
        <w:rPr>
          <w:rFonts w:eastAsia="Georgia" w:hAnsi="Georgia" w:cs="Georgia"/>
          <w:color w:val="000000"/>
        </w:rPr>
        <w:br/>
        <w:t>Table of Contents</w:t>
      </w:r>
      <w:r>
        <w:rPr>
          <w:rFonts w:eastAsia="Georgia" w:hAnsi="Georgia" w:cs="Georgia"/>
          <w:color w:val="000000"/>
        </w:rPr>
        <w:br/>
      </w:r>
      <w:hyperlink r:id="rId7" w:anchor="administration-route-in-research-studies">
        <w:r w:rsidR="00F147B0">
          <w:rPr>
            <w:rFonts w:ascii="Helvetica Neue" w:eastAsia="Helvetica Neue" w:hAnsi="Helvetica Neue" w:cs="Helvetica Neue"/>
            <w:u w:val="single"/>
          </w:rPr>
          <w:t> Administration Route in Research Studies</w:t>
        </w:r>
      </w:hyperlink>
      <w:r>
        <w:rPr>
          <w:rFonts w:eastAsia="Georgia" w:hAnsi="Georgia" w:cs="Georgia"/>
          <w:color w:val="000000"/>
        </w:rPr>
        <w:br/>
      </w:r>
      <w:hyperlink r:id="rId8" w:anchor="key-studies-confirm-this-route">
        <w:r w:rsidR="00F147B0">
          <w:rPr>
            <w:rFonts w:ascii="Helvetica Neue" w:eastAsia="Helvetica Neue" w:hAnsi="Helvetica Neue" w:cs="Helvetica Neue"/>
            <w:u w:val="single"/>
          </w:rPr>
          <w:t>Key Studies Confirm this Route:</w:t>
        </w:r>
      </w:hyperlink>
      <w:r>
        <w:rPr>
          <w:rFonts w:eastAsia="Georgia" w:hAnsi="Georgia" w:cs="Georgia"/>
          <w:color w:val="000000"/>
        </w:rPr>
        <w:br/>
      </w:r>
      <w:hyperlink r:id="rId9" w:anchor="preferred-injection-sites-in-research-protocols">
        <w:r w:rsidR="00F147B0">
          <w:rPr>
            <w:rFonts w:ascii="Helvetica Neue" w:eastAsia="Helvetica Neue" w:hAnsi="Helvetica Neue" w:cs="Helvetica Neue"/>
            <w:u w:val="single"/>
          </w:rPr>
          <w:t>Preferred Injection Sites in Research Protocols</w:t>
        </w:r>
      </w:hyperlink>
      <w:r>
        <w:rPr>
          <w:rFonts w:eastAsia="Georgia" w:hAnsi="Georgia" w:cs="Georgia"/>
          <w:color w:val="000000"/>
        </w:rPr>
        <w:br/>
      </w:r>
      <w:hyperlink r:id="rId10" w:anchor="research-protocols-technique-notes">
        <w:r w:rsidR="00F147B0">
          <w:rPr>
            <w:rFonts w:ascii="Helvetica Neue" w:eastAsia="Helvetica Neue" w:hAnsi="Helvetica Neue" w:cs="Helvetica Neue"/>
            <w:u w:val="single"/>
          </w:rPr>
          <w:t>Research protocols technique notes:</w:t>
        </w:r>
      </w:hyperlink>
      <w:r>
        <w:rPr>
          <w:rFonts w:eastAsia="Georgia" w:hAnsi="Georgia" w:cs="Georgia"/>
          <w:color w:val="000000"/>
        </w:rPr>
        <w:br/>
      </w:r>
      <w:hyperlink r:id="rId11" w:anchor="advantages-and-disadvantages-of-each-injection-site">
        <w:r w:rsidR="00F147B0">
          <w:rPr>
            <w:rFonts w:ascii="Helvetica Neue" w:eastAsia="Helvetica Neue" w:hAnsi="Helvetica Neue" w:cs="Helvetica Neue"/>
            <w:u w:val="single"/>
          </w:rPr>
          <w:t>Advantages and Disadvantages of each Injection Site.</w:t>
        </w:r>
      </w:hyperlink>
      <w:r>
        <w:rPr>
          <w:rFonts w:eastAsia="Georgia" w:hAnsi="Georgia" w:cs="Georgia"/>
          <w:color w:val="000000"/>
        </w:rPr>
        <w:br/>
      </w:r>
      <w:hyperlink r:id="rId12" w:anchor="comparison-of-the-pain-level-and-speed-of-absorption">
        <w:r w:rsidR="00F147B0">
          <w:rPr>
            <w:rFonts w:ascii="Helvetica Neue" w:eastAsia="Helvetica Neue" w:hAnsi="Helvetica Neue" w:cs="Helvetica Neue"/>
            <w:u w:val="single"/>
          </w:rPr>
          <w:t>Comparison of the pain level and speed of absorption.</w:t>
        </w:r>
      </w:hyperlink>
      <w:r>
        <w:rPr>
          <w:rFonts w:eastAsia="Georgia" w:hAnsi="Georgia" w:cs="Georgia"/>
          <w:color w:val="000000"/>
        </w:rPr>
        <w:br/>
      </w:r>
      <w:hyperlink r:id="rId13" w:anchor="mistakes-to-avoid">
        <w:r w:rsidR="00F147B0">
          <w:rPr>
            <w:rFonts w:ascii="Helvetica Neue" w:eastAsia="Helvetica Neue" w:hAnsi="Helvetica Neue" w:cs="Helvetica Neue"/>
            <w:u w:val="single"/>
          </w:rPr>
          <w:t>Mistakes to Avoid</w:t>
        </w:r>
      </w:hyperlink>
      <w:r>
        <w:rPr>
          <w:rFonts w:eastAsia="Georgia" w:hAnsi="Georgia" w:cs="Georgia"/>
          <w:color w:val="000000"/>
        </w:rPr>
        <w:br/>
      </w:r>
      <w:hyperlink r:id="rId14" w:anchor="disclaimer">
        <w:r w:rsidR="00F147B0">
          <w:rPr>
            <w:rFonts w:ascii="Helvetica Neue" w:eastAsia="Helvetica Neue" w:hAnsi="Helvetica Neue" w:cs="Helvetica Neue"/>
            <w:u w:val="single"/>
          </w:rPr>
          <w:t>Disclaimer   </w:t>
        </w:r>
      </w:hyperlink>
      <w:r>
        <w:rPr>
          <w:rFonts w:eastAsia="Georgia" w:hAnsi="Georgia" w:cs="Georgia"/>
          <w:color w:val="000000"/>
        </w:rPr>
        <w:br/>
      </w:r>
      <w:hyperlink r:id="rId15" w:anchor="references">
        <w:r w:rsidR="00F147B0">
          <w:rPr>
            <w:rFonts w:ascii="Helvetica Neue" w:eastAsia="Helvetica Neue" w:hAnsi="Helvetica Neue" w:cs="Helvetica Neue"/>
            <w:u w:val="single"/>
          </w:rPr>
          <w:t> References</w:t>
        </w:r>
      </w:hyperlink>
      <w:r>
        <w:rPr>
          <w:rFonts w:eastAsia="Georgia" w:hAnsi="Georgia" w:cs="Georgia"/>
          <w:color w:val="000000"/>
        </w:rPr>
        <w:br/>
        <w:t> Administration Route in Research Studies</w:t>
      </w:r>
      <w:r>
        <w:rPr>
          <w:rFonts w:eastAsia="Georgia" w:hAnsi="Georgia" w:cs="Georgia"/>
          <w:color w:val="000000"/>
        </w:rPr>
        <w:br/>
        <w:t>In research studies and preclinical protocols, the subcutaneous (subQ) injection is always the preferred method of CJC-1295 No DAC. Subcutaneous injection introduces the peptide into the fatty layer under the skin, and the peptide is absorbed slowly into the bloodstream, and it resembles physiological delivery.</w:t>
      </w:r>
      <w:r>
        <w:rPr>
          <w:rFonts w:eastAsia="Georgia" w:hAnsi="Georgia" w:cs="Georgia"/>
          <w:color w:val="000000"/>
        </w:rPr>
        <w:br/>
        <w:t>Key Studies Confirm this Route:</w:t>
      </w:r>
      <w:r>
        <w:rPr>
          <w:rFonts w:eastAsia="Georgia" w:hAnsi="Georgia" w:cs="Georgia"/>
          <w:color w:val="000000"/>
        </w:rPr>
        <w:br/>
        <w:t xml:space="preserve">In a phase 1 clinical trial (Teichman et al., 2006), CJC-1295 was shown to increase GH (2- to 10-fold, 6+ days) and IGF-1 (1.5- to 3-fold, 9-11 days) dose-dependently upon subcutaneous injection in healthy adults (a half-life of 5.8-8.1 days). In 10-16%, it was reported to induce mild injection-site </w:t>
      </w:r>
      <w:r>
        <w:rPr>
          <w:rFonts w:eastAsia="Georgia" w:hAnsi="Georgia" w:cs="Georgia"/>
          <w:color w:val="000000"/>
        </w:rPr>
        <w:lastRenderedPageBreak/>
        <w:t>reactions.</w:t>
      </w:r>
      <w:r>
        <w:rPr>
          <w:rFonts w:eastAsia="Georgia" w:hAnsi="Georgia" w:cs="Georgia"/>
          <w:color w:val="000000"/>
        </w:rPr>
        <w:br/>
        <w:t>Subcutaneous injections were used in preclinical studies of GHRH knockout mice to normalize body composition and growth (Alba et al., 2006).</w:t>
      </w:r>
      <w:r>
        <w:rPr>
          <w:rFonts w:eastAsia="Georgia" w:hAnsi="Georgia" w:cs="Georgia"/>
          <w:color w:val="000000"/>
        </w:rPr>
        <w:br/>
        <w:t>No significant studies are comparing subcutaneous to intramuscular or other routes of CJC-1295 No DAC, but the few that mention intramuscular routes are not favored because of the faster absorption, which can ruin the intended pulsatile profile.</w:t>
      </w:r>
      <w:r>
        <w:rPr>
          <w:rFonts w:eastAsia="Georgia" w:hAnsi="Georgia" w:cs="Georgia"/>
          <w:color w:val="000000"/>
        </w:rPr>
        <w:br/>
        <w:t>Preferred Injection Sites in Research Protocols</w:t>
      </w:r>
      <w:r>
        <w:rPr>
          <w:rFonts w:eastAsia="Georgia" w:hAnsi="Georgia" w:cs="Georgia"/>
          <w:color w:val="000000"/>
        </w:rPr>
        <w:br/>
        <w:t>The most appropriate subcutaneous areas suggested by research guidelines to achieve regular absorption and minimum amount of discomfort include:</w:t>
      </w:r>
    </w:p>
    <w:p w14:paraId="6BED0999" w14:textId="77777777" w:rsidR="00F147B0" w:rsidRDefault="00000000">
      <w:pPr>
        <w:numPr>
          <w:ilvl w:val="0"/>
          <w:numId w:val="1"/>
        </w:numPr>
        <w:spacing w:before="105" w:after="105" w:line="360" w:lineRule="auto"/>
      </w:pPr>
      <w:r>
        <w:rPr>
          <w:rFonts w:eastAsia="Georgia" w:hAnsi="Georgia" w:cs="Georgia"/>
          <w:color w:val="000000"/>
        </w:rPr>
        <w:t>Abdomen (most common):</w:t>
      </w:r>
      <w:r>
        <w:rPr>
          <w:rFonts w:eastAsia="Georgia" w:hAnsi="Georgia" w:cs="Georgia"/>
          <w:color w:val="000000"/>
        </w:rPr>
        <w:br/>
        <w:t>There is a lot of subcutaneous fat around the belly button (never in the midline) and it is evenly distributed around the belly button. It is the location of choice in the majority of human studies and animal studies because it is easily accessible and has low vessel/nerve density.</w:t>
      </w:r>
    </w:p>
    <w:p w14:paraId="7F962B83" w14:textId="77777777" w:rsidR="00F147B0" w:rsidRDefault="00000000">
      <w:pPr>
        <w:numPr>
          <w:ilvl w:val="0"/>
          <w:numId w:val="1"/>
        </w:numPr>
        <w:spacing w:before="105" w:after="105" w:line="360" w:lineRule="auto"/>
      </w:pPr>
      <w:r>
        <w:rPr>
          <w:rFonts w:eastAsia="Georgia" w:hAnsi="Georgia" w:cs="Georgia"/>
          <w:color w:val="000000"/>
        </w:rPr>
        <w:t>Thighs (outer/front): </w:t>
      </w:r>
      <w:r>
        <w:rPr>
          <w:rFonts w:eastAsia="Georgia" w:hAnsi="Georgia" w:cs="Georgia"/>
          <w:color w:val="000000"/>
        </w:rPr>
        <w:br/>
        <w:t>Access is easy and in long-term research, such a position is often turned to avoid local irritation.</w:t>
      </w:r>
    </w:p>
    <w:p w14:paraId="3F104763" w14:textId="77777777" w:rsidR="00F147B0" w:rsidRDefault="00000000">
      <w:pPr>
        <w:numPr>
          <w:ilvl w:val="0"/>
          <w:numId w:val="1"/>
        </w:numPr>
        <w:spacing w:before="105" w:after="105" w:line="360" w:lineRule="auto"/>
      </w:pPr>
      <w:r>
        <w:rPr>
          <w:rFonts w:eastAsia="Georgia" w:hAnsi="Georgia" w:cs="Georgia"/>
          <w:color w:val="000000"/>
        </w:rPr>
        <w:t>Upper arms (back of the arm): </w:t>
      </w:r>
      <w:r>
        <w:rPr>
          <w:rFonts w:eastAsia="Georgia" w:hAnsi="Georgia" w:cs="Georgia"/>
          <w:color w:val="000000"/>
        </w:rPr>
        <w:br/>
        <w:t>The only good place, when there is no abdominal or thigh.</w:t>
      </w:r>
    </w:p>
    <w:p w14:paraId="6E8F721C" w14:textId="77777777" w:rsidR="00F147B0" w:rsidRDefault="00000000">
      <w:pPr>
        <w:numPr>
          <w:ilvl w:val="0"/>
          <w:numId w:val="1"/>
        </w:numPr>
        <w:spacing w:before="105" w:after="105" w:line="360" w:lineRule="auto"/>
      </w:pPr>
      <w:r>
        <w:rPr>
          <w:rFonts w:eastAsia="Georgia" w:hAnsi="Georgia" w:cs="Georgia"/>
          <w:color w:val="000000"/>
        </w:rPr>
        <w:t>Rotation is necessary:</w:t>
      </w:r>
      <w:r>
        <w:rPr>
          <w:rFonts w:eastAsia="Georgia" w:hAnsi="Georgia" w:cs="Georgia"/>
          <w:color w:val="000000"/>
        </w:rPr>
        <w:br/>
        <w:t>Rotate sites in sequence (e.g. left abdomen to right abdomen, left thigh to right thigh) to minimize the chances of lipohypertrophy (fat buildup), redness or localized swelling.</w:t>
      </w:r>
      <w:r>
        <w:rPr>
          <w:rFonts w:eastAsia="Georgia" w:hAnsi="Georgia" w:cs="Georgia"/>
          <w:color w:val="000000"/>
        </w:rPr>
        <w:br/>
        <w:t>Research protocols technique notes:</w:t>
      </w:r>
      <w:r>
        <w:rPr>
          <w:rFonts w:eastAsia="Georgia" w:hAnsi="Georgia" w:cs="Georgia"/>
          <w:color w:val="000000"/>
        </w:rPr>
        <w:br/>
        <w:t>Fine-gauge insulin syringe (27-31G, 0.5-1 inch).</w:t>
      </w:r>
      <w:r>
        <w:rPr>
          <w:rFonts w:eastAsia="Georgia" w:hAnsi="Georgia" w:cs="Georgia"/>
          <w:color w:val="000000"/>
        </w:rPr>
        <w:br/>
        <w:t>Pinch a skinfold and insert at 45-90 degrees angle.</w:t>
      </w:r>
      <w:r>
        <w:rPr>
          <w:rFonts w:eastAsia="Georgia" w:hAnsi="Georgia" w:cs="Georgia"/>
          <w:color w:val="000000"/>
        </w:rPr>
        <w:br/>
        <w:t>Subcutaneous injections do not require any aspiration.</w:t>
      </w:r>
      <w:r>
        <w:rPr>
          <w:rFonts w:eastAsia="Georgia" w:hAnsi="Georgia" w:cs="Georgia"/>
          <w:color w:val="000000"/>
        </w:rPr>
        <w:br/>
        <w:t>Quickly inject; leave the needle in the patient a couple of seconds and then take it out.</w:t>
      </w:r>
      <w:r>
        <w:rPr>
          <w:rFonts w:eastAsia="Georgia" w:hAnsi="Georgia" w:cs="Georgia"/>
          <w:color w:val="000000"/>
        </w:rPr>
        <w:br/>
        <w:t>Wipe with alcohol swabs the site and vial stopper.</w:t>
      </w:r>
      <w:r>
        <w:rPr>
          <w:rFonts w:eastAsia="Georgia" w:hAnsi="Georgia" w:cs="Georgia"/>
          <w:color w:val="000000"/>
        </w:rPr>
        <w:br/>
        <w:t>Take on an empty stomach (fasting 2h or more) and usually at bedtime to coincide with natural nocturnal GH pulses.</w:t>
      </w:r>
      <w:r>
        <w:rPr>
          <w:rFonts w:eastAsia="Georgia" w:hAnsi="Georgia" w:cs="Georgia"/>
          <w:color w:val="000000"/>
        </w:rPr>
        <w:br/>
        <w:t>Advantages and Disadvantages of each Injection Site.</w:t>
      </w:r>
    </w:p>
    <w:p w14:paraId="10199183" w14:textId="77777777" w:rsidR="00F147B0" w:rsidRDefault="00000000">
      <w:pPr>
        <w:numPr>
          <w:ilvl w:val="0"/>
          <w:numId w:val="1"/>
        </w:numPr>
        <w:spacing w:before="105" w:after="105" w:line="360" w:lineRule="auto"/>
      </w:pPr>
      <w:r>
        <w:rPr>
          <w:rFonts w:eastAsia="Georgia" w:hAnsi="Georgia" w:cs="Georgia"/>
          <w:color w:val="000000"/>
        </w:rPr>
        <w:t>Abdomen</w:t>
      </w:r>
      <w:r>
        <w:rPr>
          <w:rFonts w:eastAsia="Georgia" w:hAnsi="Georgia" w:cs="Georgia"/>
          <w:color w:val="000000"/>
        </w:rPr>
        <w:br/>
        <w:t>Pros :</w:t>
      </w:r>
      <w:r>
        <w:rPr>
          <w:rFonts w:eastAsia="Georgia" w:hAnsi="Georgia" w:cs="Georgia"/>
          <w:color w:val="000000"/>
        </w:rPr>
        <w:br/>
        <w:t>The greatest surface area that has soft fat beneath the skin means the greatest consistency of absorption.</w:t>
      </w:r>
      <w:r>
        <w:rPr>
          <w:rFonts w:eastAsia="Georgia" w:hAnsi="Georgia" w:cs="Georgia"/>
          <w:color w:val="000000"/>
        </w:rPr>
        <w:br/>
        <w:t>Easy to access and visualize</w:t>
      </w:r>
      <w:r>
        <w:rPr>
          <w:rFonts w:eastAsia="Georgia" w:hAnsi="Georgia" w:cs="Georgia"/>
          <w:color w:val="000000"/>
        </w:rPr>
        <w:br/>
        <w:t xml:space="preserve">Minimum density of major nerves and blood vessels, this means that there is less likelihood of </w:t>
      </w:r>
      <w:r>
        <w:rPr>
          <w:rFonts w:eastAsia="Georgia" w:hAnsi="Georgia" w:cs="Georgia"/>
          <w:color w:val="000000"/>
        </w:rPr>
        <w:lastRenderedPageBreak/>
        <w:t>bumping into anything.</w:t>
      </w:r>
      <w:r>
        <w:rPr>
          <w:rFonts w:eastAsia="Georgia" w:hAnsi="Georgia" w:cs="Georgia"/>
          <w:color w:val="000000"/>
        </w:rPr>
        <w:br/>
        <w:t>Favorite in the majority of pharmacokinetic research due to good bioavailability.</w:t>
      </w:r>
      <w:r>
        <w:rPr>
          <w:rFonts w:eastAsia="Georgia" w:hAnsi="Georgia" w:cs="Georgia"/>
          <w:color w:val="000000"/>
        </w:rPr>
        <w:br/>
        <w:t>Cons :</w:t>
      </w:r>
      <w:r>
        <w:rPr>
          <w:rFonts w:eastAsia="Georgia" w:hAnsi="Georgia" w:cs="Georgia"/>
          <w:color w:val="000000"/>
        </w:rPr>
        <w:br/>
        <w:t>Visible site (this can be an issue with certain one)</w:t>
      </w:r>
      <w:r>
        <w:rPr>
          <w:rFonts w:eastAsia="Georgia" w:hAnsi="Georgia" w:cs="Georgia"/>
          <w:color w:val="000000"/>
        </w:rPr>
        <w:br/>
        <w:t>Some chance of lipohypertrophy when used repeatedly at the same location.</w:t>
      </w:r>
    </w:p>
    <w:p w14:paraId="3FF01373" w14:textId="77777777" w:rsidR="00F147B0" w:rsidRDefault="00000000">
      <w:pPr>
        <w:numPr>
          <w:ilvl w:val="0"/>
          <w:numId w:val="1"/>
        </w:numPr>
        <w:spacing w:before="105" w:after="105" w:line="360" w:lineRule="auto"/>
      </w:pPr>
      <w:r>
        <w:rPr>
          <w:rFonts w:eastAsia="Georgia" w:hAnsi="Georgia" w:cs="Georgia"/>
          <w:color w:val="000000"/>
        </w:rPr>
        <w:t>Thighs (outer or front)</w:t>
      </w:r>
      <w:r>
        <w:rPr>
          <w:rFonts w:eastAsia="Georgia" w:hAnsi="Georgia" w:cs="Georgia"/>
          <w:color w:val="000000"/>
        </w:rPr>
        <w:br/>
        <w:t>Pros :</w:t>
      </w:r>
      <w:r>
        <w:rPr>
          <w:rFonts w:eastAsia="Georgia" w:hAnsi="Georgia" w:cs="Georgia"/>
          <w:color w:val="000000"/>
        </w:rPr>
        <w:br/>
        <w:t>A smooth layer of fat for absorption.</w:t>
      </w:r>
      <w:r>
        <w:rPr>
          <w:rFonts w:eastAsia="Georgia" w:hAnsi="Georgia" w:cs="Georgia"/>
          <w:color w:val="000000"/>
        </w:rPr>
        <w:br/>
        <w:t>Painless self-administration when seated.</w:t>
      </w:r>
      <w:r>
        <w:rPr>
          <w:rFonts w:eastAsia="Georgia" w:hAnsi="Georgia" w:cs="Georgia"/>
          <w:color w:val="000000"/>
        </w:rPr>
        <w:br/>
        <w:t>Less visible than the abdomen</w:t>
      </w:r>
      <w:r>
        <w:rPr>
          <w:rFonts w:eastAsia="Georgia" w:hAnsi="Georgia" w:cs="Georgia"/>
          <w:color w:val="000000"/>
        </w:rPr>
        <w:br/>
        <w:t>Cons :</w:t>
      </w:r>
      <w:r>
        <w:rPr>
          <w:rFonts w:eastAsia="Georgia" w:hAnsi="Georgia" w:cs="Georgia"/>
          <w:color w:val="000000"/>
        </w:rPr>
        <w:br/>
        <w:t>When there is more muscle below, the chances of intramuscular injection are higher when not pinched correctly.</w:t>
      </w:r>
      <w:r>
        <w:rPr>
          <w:rFonts w:eastAsia="Georgia" w:hAnsi="Georgia" w:cs="Georgia"/>
          <w:color w:val="000000"/>
        </w:rPr>
        <w:br/>
        <w:t>May be hypersensitive/painful in some users.</w:t>
      </w:r>
      <w:r>
        <w:rPr>
          <w:rFonts w:eastAsia="Georgia" w:hAnsi="Georgia" w:cs="Georgia"/>
          <w:color w:val="000000"/>
        </w:rPr>
        <w:br/>
        <w:t>Walking/movement can result in slight pain after the injection.</w:t>
      </w:r>
    </w:p>
    <w:p w14:paraId="7826F9D7" w14:textId="77777777" w:rsidR="00F147B0" w:rsidRDefault="00000000">
      <w:pPr>
        <w:numPr>
          <w:ilvl w:val="0"/>
          <w:numId w:val="1"/>
        </w:numPr>
        <w:spacing w:before="105" w:after="105" w:line="360" w:lineRule="auto"/>
      </w:pPr>
      <w:r>
        <w:rPr>
          <w:rFonts w:eastAsia="Georgia" w:hAnsi="Georgia" w:cs="Georgia"/>
          <w:color w:val="000000"/>
        </w:rPr>
        <w:t>Upper Arms (back of the arm)</w:t>
      </w:r>
      <w:r>
        <w:rPr>
          <w:rFonts w:eastAsia="Georgia" w:hAnsi="Georgia" w:cs="Georgia"/>
          <w:color w:val="000000"/>
        </w:rPr>
        <w:br/>
        <w:t>Pros :</w:t>
      </w:r>
      <w:r>
        <w:rPr>
          <w:rFonts w:eastAsia="Georgia" w:hAnsi="Georgia" w:cs="Georgia"/>
          <w:color w:val="000000"/>
        </w:rPr>
        <w:br/>
        <w:t>Discreet and less visible</w:t>
      </w:r>
      <w:r>
        <w:rPr>
          <w:rFonts w:eastAsia="Georgia" w:hAnsi="Georgia" w:cs="Georgia"/>
          <w:color w:val="000000"/>
        </w:rPr>
        <w:br/>
        <w:t>The fat layer is good in most individuals.</w:t>
      </w:r>
      <w:r>
        <w:rPr>
          <w:rFonts w:eastAsia="Georgia" w:hAnsi="Georgia" w:cs="Georgia"/>
          <w:color w:val="000000"/>
        </w:rPr>
        <w:br/>
        <w:t>Cons :</w:t>
      </w:r>
      <w:r>
        <w:rPr>
          <w:rFonts w:eastAsia="Georgia" w:hAnsi="Georgia" w:cs="Georgia"/>
          <w:color w:val="000000"/>
        </w:rPr>
        <w:br/>
        <w:t>More difficult to access and squeeze individually (requires help usually)</w:t>
      </w:r>
      <w:r>
        <w:rPr>
          <w:rFonts w:eastAsia="Georgia" w:hAnsi="Georgia" w:cs="Georgia"/>
          <w:color w:val="000000"/>
        </w:rPr>
        <w:br/>
        <w:t>Slimmer fat in certain people, therefore, risk of intramuscular injection.</w:t>
      </w:r>
      <w:r>
        <w:rPr>
          <w:rFonts w:eastAsia="Georgia" w:hAnsi="Georgia" w:cs="Georgia"/>
          <w:color w:val="000000"/>
        </w:rPr>
        <w:br/>
        <w:t>Underresearched in peptide experiments (less amount of data on consistency).</w:t>
      </w:r>
      <w:r>
        <w:rPr>
          <w:rFonts w:eastAsia="Georgia" w:hAnsi="Georgia" w:cs="Georgia"/>
          <w:color w:val="000000"/>
        </w:rPr>
        <w:br/>
        <w:t>No single site is found in the research to be the best, although the abdomen is mentioned as the most reliable site; any of the three is usable with good technique and rotation.</w:t>
      </w:r>
      <w:r>
        <w:rPr>
          <w:rFonts w:eastAsia="Georgia" w:hAnsi="Georgia" w:cs="Georgia"/>
          <w:color w:val="000000"/>
        </w:rPr>
        <w:br/>
        <w:t>Comparison of the pain level and speed of absorption.</w:t>
      </w:r>
      <w:r>
        <w:rPr>
          <w:rFonts w:eastAsia="Georgia" w:hAnsi="Georgia" w:cs="Georgia"/>
          <w:color w:val="000000"/>
        </w:rPr>
        <w:br/>
        <w:t>Pain Level (subjective, on peptide research reports and studies of injection technique):</w:t>
      </w:r>
      <w:r>
        <w:rPr>
          <w:rFonts w:eastAsia="Georgia" w:hAnsi="Georgia" w:cs="Georgia"/>
          <w:color w:val="000000"/>
        </w:rPr>
        <w:br/>
        <w:t>Abdomen: Lowest pain (1-3/10) because the thick fat layer cushions the needle, and also, this site has a low density of nerves.</w:t>
      </w:r>
      <w:r>
        <w:rPr>
          <w:rFonts w:eastAsia="Georgia" w:hAnsi="Georgia" w:cs="Georgia"/>
          <w:color w:val="000000"/>
        </w:rPr>
        <w:br/>
        <w:t>Thighs: Moderate pain (3-6/10) due to a large number of nerve endings, and can sting more if the muscle is struck accidentally.</w:t>
      </w:r>
      <w:r>
        <w:rPr>
          <w:rFonts w:eastAsia="Georgia" w:hAnsi="Georgia" w:cs="Georgia"/>
          <w:color w:val="000000"/>
        </w:rPr>
        <w:br/>
        <w:t>Upper arms: Variable (2-7/10) because some individuals have less fat, which makes it more uncomfortable. Furthermore, it also hurts when the angle is more acute.</w:t>
      </w:r>
      <w:r>
        <w:rPr>
          <w:rFonts w:eastAsia="Georgia" w:hAnsi="Georgia" w:cs="Georgia"/>
          <w:color w:val="000000"/>
        </w:rPr>
        <w:br/>
        <w:t>Absorption Speed (in accordance with general subcutaneous pharmacokinetics; there is no direct comparison of the CJC-1295 site):</w:t>
      </w:r>
      <w:r>
        <w:rPr>
          <w:rFonts w:eastAsia="Georgia" w:hAnsi="Georgia" w:cs="Georgia"/>
          <w:color w:val="000000"/>
        </w:rPr>
        <w:br/>
        <w:t xml:space="preserve">Abdomen: Moderate absorption (maximal plasma concentration 30 to 60 minutes after </w:t>
      </w:r>
      <w:r>
        <w:rPr>
          <w:rFonts w:eastAsia="Georgia" w:hAnsi="Georgia" w:cs="Georgia"/>
          <w:color w:val="000000"/>
        </w:rPr>
        <w:lastRenderedPageBreak/>
        <w:t>injection). It is most consistent because the blood flow is constant and the fat layer is stable.</w:t>
      </w:r>
      <w:r>
        <w:rPr>
          <w:rFonts w:eastAsia="Georgia" w:hAnsi="Georgia" w:cs="Georgia"/>
          <w:color w:val="000000"/>
        </w:rPr>
        <w:br/>
        <w:t>Thighs: A little slower absorption and a larger fat depot have been found to slow the onset by 10 to 20 minutes in some studies.</w:t>
      </w:r>
      <w:r>
        <w:rPr>
          <w:rFonts w:eastAsia="Georgia" w:hAnsi="Georgia" w:cs="Georgia"/>
          <w:color w:val="000000"/>
        </w:rPr>
        <w:br/>
        <w:t>Upper arms: In most case,s the same as the abdomen, but more alternating by the propinquity of muscles, and the thickness of the fat.</w:t>
      </w:r>
      <w:r>
        <w:rPr>
          <w:rFonts w:eastAsia="Georgia" w:hAnsi="Georgia" w:cs="Georgia"/>
          <w:color w:val="000000"/>
        </w:rPr>
        <w:br/>
        <w:t>Clinically significant differences in GH/IGF-1 response across sites have not been found with the correct subQ technique (e.g., Teichman et al., 2006). Consistency is achieved through proper depth and correct rotation. It is not dependent on the site choice.</w:t>
      </w:r>
      <w:r>
        <w:rPr>
          <w:rFonts w:eastAsia="Georgia" w:hAnsi="Georgia" w:cs="Georgia"/>
          <w:color w:val="000000"/>
        </w:rPr>
        <w:br/>
        <w:t>Mistakes to Avoid</w:t>
      </w:r>
      <w:r>
        <w:rPr>
          <w:rFonts w:eastAsia="Georgia" w:hAnsi="Georgia" w:cs="Georgia"/>
          <w:color w:val="000000"/>
        </w:rPr>
        <w:br/>
        <w:t>There are some common mistakes that should be avoided including deep injection, poor aseptic technique, not pinching the skin, and continuous use of the same spot. Furthermore it is not recommended to be injected on an empty stomach because in models it has shown blunt GH response.</w:t>
      </w:r>
      <w:r>
        <w:rPr>
          <w:rFonts w:eastAsia="Georgia" w:hAnsi="Georgia" w:cs="Georgia"/>
          <w:color w:val="000000"/>
        </w:rPr>
        <w:br/>
        <w:t>Disclaimer   </w:t>
      </w:r>
      <w:r>
        <w:rPr>
          <w:rFonts w:eastAsia="Georgia" w:hAnsi="Georgia" w:cs="Georgia"/>
          <w:color w:val="000000"/>
        </w:rPr>
        <w:br/>
        <w:t>This blog is for educational and research purposes only, summarizing published studies on CJC-1295 No DAC. The peptide is  investigational  and  not approved  for human use outside controlled research. All discussions of injection sites and administration are for laboratory or preclinical contexts and should not be applied to humans. Misuse can lead to serious health risks. Always follow institutional review board (IRB) guidelines, animal welfare regulations, and biosafety protocols. Consult qualified researchers or supervisors for any experimental use. The author and publisher disclaim liability for any misuse of this information.</w:t>
      </w:r>
      <w:r>
        <w:rPr>
          <w:rFonts w:eastAsia="Georgia" w:hAnsi="Georgia" w:cs="Georgia"/>
          <w:color w:val="000000"/>
        </w:rPr>
        <w:br/>
        <w:t> References</w:t>
      </w:r>
      <w:r>
        <w:rPr>
          <w:rFonts w:eastAsia="Georgia" w:hAnsi="Georgia" w:cs="Georgia"/>
          <w:color w:val="000000"/>
        </w:rPr>
        <w:br/>
      </w:r>
      <w:hyperlink r:id="rId16">
        <w:r w:rsidR="00F147B0">
          <w:rPr>
            <w:rFonts w:ascii="Helvetica Neue" w:eastAsia="Helvetica Neue" w:hAnsi="Helvetica Neue" w:cs="Helvetica Neue"/>
            <w:u w:val="single"/>
          </w:rPr>
          <w:t>Teichman SL, et al. (2006).</w:t>
        </w:r>
      </w:hyperlink>
      <w:r>
        <w:rPr>
          <w:rFonts w:eastAsia="Georgia" w:hAnsi="Georgia" w:cs="Georgia"/>
          <w:color w:val="000000"/>
        </w:rPr>
        <w:t> Prolonged stimulation of growth hormone (GH) and insulin-like growth factor I secretion by CJC-1295…   Journal of Clinical Endocrinology &amp; Metabolism  . DOI: 10.1210/jc.2005-1536.  </w:t>
      </w:r>
      <w:r>
        <w:rPr>
          <w:rFonts w:eastAsia="Georgia" w:hAnsi="Georgia" w:cs="Georgia"/>
          <w:color w:val="000000"/>
        </w:rPr>
        <w:br/>
      </w:r>
      <w:hyperlink r:id="rId17">
        <w:r w:rsidR="00F147B0">
          <w:rPr>
            <w:rFonts w:ascii="Helvetica Neue" w:eastAsia="Helvetica Neue" w:hAnsi="Helvetica Neue" w:cs="Helvetica Neue"/>
            <w:u w:val="single"/>
          </w:rPr>
          <w:t>Ionescu M, Frohman LA. (2006)</w:t>
        </w:r>
      </w:hyperlink>
      <w:r>
        <w:rPr>
          <w:rFonts w:eastAsia="Georgia" w:hAnsi="Georgia" w:cs="Georgia"/>
          <w:color w:val="000000"/>
        </w:rPr>
        <w:t>. Pulsatile secretion of growth hormone (GH) persists during continuous stimulation by CJC-1295…   Journal of Clinical Endocrinology &amp; Metabolism  . DOI: 10.1210/jc.2006-1702.  </w:t>
      </w:r>
      <w:r>
        <w:rPr>
          <w:rFonts w:eastAsia="Georgia" w:hAnsi="Georgia" w:cs="Georgia"/>
          <w:color w:val="000000"/>
        </w:rPr>
        <w:br/>
      </w:r>
      <w:hyperlink r:id="rId18">
        <w:r w:rsidR="00F147B0">
          <w:rPr>
            <w:rFonts w:ascii="Helvetica Neue" w:eastAsia="Helvetica Neue" w:hAnsi="Helvetica Neue" w:cs="Helvetica Neue"/>
            <w:u w:val="single"/>
          </w:rPr>
          <w:t>Alba M, et al. (2006).</w:t>
        </w:r>
      </w:hyperlink>
      <w:r>
        <w:rPr>
          <w:rFonts w:eastAsia="Georgia" w:hAnsi="Georgia" w:cs="Georgia"/>
          <w:color w:val="000000"/>
        </w:rPr>
        <w:t> Once-daily administration of CJC-1295… normalizes growth in the GHRH knockout mouse.   American Journal of Physiology-Endocrinology and Metabolism  . DOI: 10.1152/ajpendo.00201.2006.  </w:t>
      </w:r>
      <w:r>
        <w:rPr>
          <w:rFonts w:eastAsia="Georgia" w:hAnsi="Georgia" w:cs="Georgia"/>
          <w:color w:val="000000"/>
        </w:rPr>
        <w:br/>
      </w:r>
      <w:hyperlink r:id="rId19">
        <w:r w:rsidR="00F147B0">
          <w:rPr>
            <w:rFonts w:ascii="Helvetica Neue" w:eastAsia="Helvetica Neue" w:hAnsi="Helvetica Neue" w:cs="Helvetica Neue"/>
            <w:u w:val="single"/>
          </w:rPr>
          <w:t>Peptide Dosages Protocol (2023)</w:t>
        </w:r>
      </w:hyperlink>
      <w:r>
        <w:rPr>
          <w:rFonts w:eastAsia="Georgia" w:hAnsi="Georgia" w:cs="Georgia"/>
          <w:color w:val="000000"/>
        </w:rPr>
        <w:t>. CJC-1295 No DAC 5mg Vial Dosage Protocol.  </w:t>
      </w:r>
      <w:r>
        <w:rPr>
          <w:rFonts w:eastAsia="Georgia" w:hAnsi="Georgia" w:cs="Georgia"/>
          <w:color w:val="000000"/>
        </w:rPr>
        <w:br/>
      </w:r>
      <w:hyperlink r:id="rId20">
        <w:r w:rsidR="00F147B0">
          <w:rPr>
            <w:rFonts w:ascii="Helvetica Neue" w:eastAsia="Helvetica Neue" w:hAnsi="Helvetica Neue" w:cs="Helvetica Neue"/>
            <w:u w:val="single"/>
          </w:rPr>
          <w:t>Recess RX (2024).</w:t>
        </w:r>
      </w:hyperlink>
      <w:r>
        <w:rPr>
          <w:rFonts w:eastAsia="Georgia" w:hAnsi="Georgia" w:cs="Georgia"/>
          <w:color w:val="000000"/>
        </w:rPr>
        <w:t> CJC-1295 Administration Guidelines.</w:t>
      </w:r>
    </w:p>
    <w:p w14:paraId="0A4BAFDC" w14:textId="77777777" w:rsidR="00F147B0" w:rsidRDefault="00000000">
      <w:pPr>
        <w:spacing w:after="210" w:line="360" w:lineRule="auto"/>
      </w:pPr>
      <w:r>
        <w:rPr>
          <w:rFonts w:eastAsia="Georgia" w:hAnsi="Georgia" w:cs="Georgia"/>
          <w:color w:val="000000"/>
        </w:rPr>
        <w:t>Here’s a fresh, simple-English version of that blog for PeptraBio, keeping the science but changing the style and wording so it’s unique and clearly “research only”.</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4A63D0D" w14:textId="77777777" w:rsidR="00F147B0" w:rsidRDefault="00F45440">
      <w:pPr>
        <w:spacing w:before="210" w:after="0" w:line="360" w:lineRule="auto"/>
      </w:pPr>
      <w:r>
        <w:rPr>
          <w:noProof/>
        </w:rPr>
      </w:r>
      <w:r>
        <w:rPr>
          <w:noProof/>
        </w:rPr>
        <w:pict w14:anchorId="27F92DD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80E30E" w14:textId="77777777" w:rsidR="00F147B0" w:rsidRDefault="00000000">
      <w:pPr>
        <w:spacing w:before="315" w:after="105" w:line="360" w:lineRule="auto"/>
        <w:ind w:left="-30"/>
      </w:pPr>
      <w:bookmarkStart w:id="5" w:name="cjc_1295_no_dac_what_research_say_f38cb6"/>
      <w:r>
        <w:rPr>
          <w:rFonts w:eastAsia="Georgia" w:hAnsi="Georgia" w:cs="Georgia"/>
          <w:b/>
          <w:color w:val="000000"/>
          <w:sz w:val="24"/>
        </w:rPr>
        <w:t>CJC‑1295 (No DAC): What Research Says About Subcutaneous Injection Sites</w:t>
      </w:r>
      <w:bookmarkEnd w:id="5"/>
    </w:p>
    <w:p w14:paraId="139366EE" w14:textId="77777777" w:rsidR="00F147B0" w:rsidRDefault="00000000">
      <w:pPr>
        <w:spacing w:after="210" w:line="360" w:lineRule="auto"/>
      </w:pPr>
      <w:r>
        <w:rPr>
          <w:rFonts w:eastAsia="Georgia" w:hAnsi="Georgia" w:cs="Georgia"/>
          <w:color w:val="000000"/>
        </w:rPr>
        <w:t>CJC‑1295 (No DAC), often called Mod GRF 1‑29, is a short‑acting analogue of growth hormone–releasing hormone (GHRH). In lab and preclinical work it is used to study pulsatile growth hormone (GH) release by the pituitary, because its plasma half‑life is only around 30 minutes.</w:t>
      </w:r>
      <w:bookmarkStart w:id="6" w:name="fnref3_1"/>
      <w:bookmarkEnd w:id="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 w:name="fnref4_1"/>
      <w:bookmarkEnd w:id="7"/>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8E07FF2" w14:textId="77777777" w:rsidR="00F147B0" w:rsidRDefault="00000000">
      <w:pPr>
        <w:spacing w:after="210" w:line="360" w:lineRule="auto"/>
      </w:pPr>
      <w:r>
        <w:rPr>
          <w:rFonts w:eastAsia="Georgia" w:hAnsi="Georgia" w:cs="Georgia"/>
          <w:color w:val="000000"/>
        </w:rPr>
        <w:t xml:space="preserve">This article looks at </w:t>
      </w:r>
      <w:r>
        <w:rPr>
          <w:rFonts w:eastAsia="Georgia" w:hAnsi="Georgia" w:cs="Georgia"/>
          <w:b/>
          <w:color w:val="000000"/>
        </w:rPr>
        <w:t>how researchers typically inject CJC‑1295 (No DAC)</w:t>
      </w:r>
      <w:r>
        <w:rPr>
          <w:rFonts w:eastAsia="Georgia" w:hAnsi="Georgia" w:cs="Georgia"/>
          <w:color w:val="000000"/>
        </w:rPr>
        <w:t xml:space="preserve"> in experimental settings: the preferred route, common subcutaneous sites, and technique notes from published protocols and method guides. It is meant only for scientific and educational reading, not for self‑use.</w:t>
      </w:r>
    </w:p>
    <w:p w14:paraId="77992554" w14:textId="77777777" w:rsidR="00F147B0" w:rsidRDefault="00F45440">
      <w:pPr>
        <w:spacing w:before="210" w:after="0" w:line="360" w:lineRule="auto"/>
      </w:pPr>
      <w:r>
        <w:rPr>
          <w:noProof/>
        </w:rPr>
      </w:r>
      <w:r>
        <w:rPr>
          <w:noProof/>
        </w:rPr>
        <w:pict w14:anchorId="622829A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39ED1E" w14:textId="77777777" w:rsidR="00F147B0" w:rsidRDefault="00000000">
      <w:pPr>
        <w:spacing w:before="315" w:after="105" w:line="360" w:lineRule="auto"/>
        <w:ind w:left="-30"/>
      </w:pPr>
      <w:bookmarkStart w:id="8" w:name="route_used_in_studies_why_subcutaneous"/>
      <w:r>
        <w:rPr>
          <w:rFonts w:eastAsia="Georgia" w:hAnsi="Georgia" w:cs="Georgia"/>
          <w:b/>
          <w:color w:val="000000"/>
          <w:sz w:val="24"/>
        </w:rPr>
        <w:t>Route Used in Studies: Why Subcutaneous?</w:t>
      </w:r>
      <w:bookmarkEnd w:id="8"/>
    </w:p>
    <w:p w14:paraId="4E4A7D6D" w14:textId="77777777" w:rsidR="00F147B0" w:rsidRDefault="00000000">
      <w:pPr>
        <w:spacing w:after="210" w:line="360" w:lineRule="auto"/>
      </w:pPr>
      <w:r>
        <w:rPr>
          <w:rFonts w:eastAsia="Georgia" w:hAnsi="Georgia" w:cs="Georgia"/>
          <w:color w:val="000000"/>
        </w:rPr>
        <w:t xml:space="preserve">In published GHRH analogue trials and most peptide‑protocol write‑ups, </w:t>
      </w:r>
      <w:r>
        <w:rPr>
          <w:rFonts w:eastAsia="Georgia" w:hAnsi="Georgia" w:cs="Georgia"/>
          <w:b/>
          <w:color w:val="000000"/>
        </w:rPr>
        <w:t>subcutaneous (subQ) injection into fatty tissue under the skin</w:t>
      </w:r>
      <w:r>
        <w:rPr>
          <w:rFonts w:eastAsia="Georgia" w:hAnsi="Georgia" w:cs="Georgia"/>
          <w:color w:val="000000"/>
        </w:rPr>
        <w:t xml:space="preserve"> is the standard route for CJC‑1295‑type compounds.</w:t>
      </w:r>
      <w:bookmarkStart w:id="9" w:name="fnref5"/>
      <w:bookmarkEnd w:id="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0" w:name="fnref2_1"/>
      <w:bookmarkEnd w:id="1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1" w:name="fnref1_1"/>
      <w:bookmarkEnd w:id="1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ABA9D29" w14:textId="77777777" w:rsidR="00F147B0" w:rsidRDefault="00000000">
      <w:pPr>
        <w:numPr>
          <w:ilvl w:val="0"/>
          <w:numId w:val="2"/>
        </w:numPr>
        <w:spacing w:before="105" w:after="105" w:line="360" w:lineRule="auto"/>
      </w:pPr>
      <w:r>
        <w:rPr>
          <w:rFonts w:eastAsia="Georgia" w:hAnsi="Georgia" w:cs="Georgia"/>
          <w:color w:val="000000"/>
        </w:rPr>
        <w:t xml:space="preserve">SubQ injection creates a </w:t>
      </w:r>
      <w:r>
        <w:rPr>
          <w:rFonts w:eastAsia="Georgia" w:hAnsi="Georgia" w:cs="Georgia"/>
          <w:b/>
          <w:color w:val="000000"/>
        </w:rPr>
        <w:t>slower, smoother absorption curve</w:t>
      </w:r>
      <w:r>
        <w:rPr>
          <w:rFonts w:eastAsia="Georgia" w:hAnsi="Georgia" w:cs="Georgia"/>
          <w:color w:val="000000"/>
        </w:rPr>
        <w:t xml:space="preserve"> than direct intramuscular delivery.</w:t>
      </w:r>
    </w:p>
    <w:p w14:paraId="042BEA37" w14:textId="77777777" w:rsidR="00F147B0" w:rsidRDefault="00000000">
      <w:pPr>
        <w:numPr>
          <w:ilvl w:val="0"/>
          <w:numId w:val="2"/>
        </w:numPr>
        <w:spacing w:before="105" w:after="105" w:line="360" w:lineRule="auto"/>
      </w:pPr>
      <w:r>
        <w:rPr>
          <w:rFonts w:eastAsia="Georgia" w:hAnsi="Georgia" w:cs="Georgia"/>
          <w:color w:val="000000"/>
        </w:rPr>
        <w:t>This matches the research goal of mimicking more natural GH pulses instead of a sharp, single spike.</w:t>
      </w:r>
      <w:bookmarkStart w:id="12" w:name="fnref6"/>
      <w:bookmarkEnd w:id="1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3" w:name="fnref3_2"/>
      <w:bookmarkEnd w:id="1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3C4FBED" w14:textId="77777777" w:rsidR="00F147B0" w:rsidRDefault="00000000">
      <w:pPr>
        <w:numPr>
          <w:ilvl w:val="0"/>
          <w:numId w:val="2"/>
        </w:numPr>
        <w:spacing w:before="105" w:after="105" w:line="360" w:lineRule="auto"/>
      </w:pPr>
      <w:r>
        <w:rPr>
          <w:rFonts w:eastAsia="Georgia" w:hAnsi="Georgia" w:cs="Georgia"/>
          <w:color w:val="000000"/>
        </w:rPr>
        <w:t>Early human work with long‑acting CJC‑1295 (with DAC) showed clear, dose‑dependent increases in GH and IGF‑1 when given subcutaneously, confirming that GHRH‑based peptides can be effectively delivered this way.</w:t>
      </w:r>
      <w:bookmarkStart w:id="14" w:name="fnref2_2"/>
      <w:bookmarkEnd w:id="1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5" w:name="fnref7"/>
      <w:bookmarkEnd w:id="1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7017290" w14:textId="77777777" w:rsidR="00F147B0" w:rsidRDefault="00000000">
      <w:pPr>
        <w:spacing w:after="210" w:line="360" w:lineRule="auto"/>
      </w:pPr>
      <w:r>
        <w:rPr>
          <w:rFonts w:eastAsia="Georgia" w:hAnsi="Georgia" w:cs="Georgia"/>
          <w:color w:val="000000"/>
        </w:rPr>
        <w:t>For the shorter‑acting No‑DAC version, subQ delivery is preferred in protocol guides because it is easy to repeat several times per day and gives predictable entry into the circulation when the technique is correct.</w:t>
      </w:r>
      <w:bookmarkStart w:id="16" w:name="fnref8"/>
      <w:bookmarkEnd w:id="1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7" w:name="fnref9"/>
      <w:bookmarkEnd w:id="1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8" w:name="fnref5_1"/>
      <w:bookmarkEnd w:id="1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D94D261" w14:textId="77777777" w:rsidR="00F147B0" w:rsidRDefault="00F45440">
      <w:pPr>
        <w:spacing w:before="210" w:after="0" w:line="360" w:lineRule="auto"/>
      </w:pPr>
      <w:r>
        <w:rPr>
          <w:noProof/>
        </w:rPr>
      </w:r>
      <w:r>
        <w:rPr>
          <w:noProof/>
        </w:rPr>
        <w:pict w14:anchorId="45DF973C">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57CBCD" w14:textId="77777777" w:rsidR="00F147B0" w:rsidRDefault="00000000">
      <w:pPr>
        <w:spacing w:before="315" w:after="105" w:line="360" w:lineRule="auto"/>
        <w:ind w:left="-30"/>
      </w:pPr>
      <w:bookmarkStart w:id="19" w:name="common_subcutaneous_sites_in_rese_65e19b"/>
      <w:r>
        <w:rPr>
          <w:rFonts w:eastAsia="Georgia" w:hAnsi="Georgia" w:cs="Georgia"/>
          <w:b/>
          <w:color w:val="000000"/>
          <w:sz w:val="24"/>
        </w:rPr>
        <w:t>Common Subcutaneous Sites in Research Protocols</w:t>
      </w:r>
      <w:bookmarkEnd w:id="19"/>
    </w:p>
    <w:p w14:paraId="203234FE" w14:textId="77777777" w:rsidR="00F147B0" w:rsidRDefault="00000000">
      <w:pPr>
        <w:spacing w:after="210" w:line="360" w:lineRule="auto"/>
      </w:pPr>
      <w:r>
        <w:rPr>
          <w:rFonts w:eastAsia="Georgia" w:hAnsi="Georgia" w:cs="Georgia"/>
          <w:color w:val="000000"/>
        </w:rPr>
        <w:t xml:space="preserve">Most lab and protocol resources recommend the same </w:t>
      </w:r>
      <w:r>
        <w:rPr>
          <w:rFonts w:eastAsia="Georgia" w:hAnsi="Georgia" w:cs="Georgia"/>
          <w:b/>
          <w:color w:val="000000"/>
        </w:rPr>
        <w:t>three main areas</w:t>
      </w:r>
      <w:r>
        <w:rPr>
          <w:rFonts w:eastAsia="Georgia" w:hAnsi="Georgia" w:cs="Georgia"/>
          <w:color w:val="000000"/>
        </w:rPr>
        <w:t xml:space="preserve"> for subQ CJC‑1295 (No DAC):</w:t>
      </w:r>
      <w:bookmarkStart w:id="20" w:name="fnref1_2"/>
      <w:bookmarkEnd w:id="2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1" w:name="fnref5_2"/>
      <w:bookmarkEnd w:id="2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2" w:name="fnref8_1"/>
      <w:bookmarkEnd w:id="22"/>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4127AC9F" w14:textId="77777777" w:rsidR="00F147B0" w:rsidRDefault="00000000">
      <w:pPr>
        <w:numPr>
          <w:ilvl w:val="0"/>
          <w:numId w:val="3"/>
        </w:numPr>
        <w:spacing w:after="210" w:line="360" w:lineRule="auto"/>
      </w:pPr>
      <w:r>
        <w:rPr>
          <w:rFonts w:eastAsia="Georgia" w:hAnsi="Georgia" w:cs="Georgia"/>
          <w:b/>
          <w:color w:val="000000"/>
        </w:rPr>
        <w:t>Abdomen (most common)</w:t>
      </w:r>
    </w:p>
    <w:p w14:paraId="2A162585" w14:textId="77777777" w:rsidR="00F147B0" w:rsidRDefault="00000000">
      <w:pPr>
        <w:numPr>
          <w:ilvl w:val="1"/>
          <w:numId w:val="3"/>
        </w:numPr>
        <w:spacing w:before="105" w:after="105" w:line="360" w:lineRule="auto"/>
      </w:pPr>
      <w:r>
        <w:rPr>
          <w:rFonts w:eastAsia="Georgia" w:hAnsi="Georgia" w:cs="Georgia"/>
          <w:color w:val="000000"/>
        </w:rPr>
        <w:lastRenderedPageBreak/>
        <w:t>Typically at least 2–3 cm away from the navel, not directly on the midline.</w:t>
      </w:r>
    </w:p>
    <w:p w14:paraId="2EAA21B4" w14:textId="77777777" w:rsidR="00F147B0" w:rsidRDefault="00000000">
      <w:pPr>
        <w:numPr>
          <w:ilvl w:val="1"/>
          <w:numId w:val="3"/>
        </w:numPr>
        <w:spacing w:before="105" w:after="105" w:line="360" w:lineRule="auto"/>
      </w:pPr>
      <w:r>
        <w:rPr>
          <w:rFonts w:eastAsia="Georgia" w:hAnsi="Georgia" w:cs="Georgia"/>
          <w:color w:val="000000"/>
        </w:rPr>
        <w:t>Has a broad, even layer of fat and relatively few large nerves or vessels, making it a comfortable and consistent site.</w:t>
      </w:r>
      <w:bookmarkStart w:id="23" w:name="fnref8_2"/>
      <w:bookmarkEnd w:id="23"/>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24" w:name="fnref1_3"/>
      <w:bookmarkEnd w:id="2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4FDBCDAE" w14:textId="77777777" w:rsidR="00F147B0" w:rsidRDefault="00000000">
      <w:pPr>
        <w:numPr>
          <w:ilvl w:val="1"/>
          <w:numId w:val="3"/>
        </w:numPr>
        <w:spacing w:before="105" w:after="105" w:line="360" w:lineRule="auto"/>
      </w:pPr>
      <w:r>
        <w:rPr>
          <w:rFonts w:eastAsia="Georgia" w:hAnsi="Georgia" w:cs="Georgia"/>
          <w:color w:val="000000"/>
        </w:rPr>
        <w:t>Often used as the default location in protocol write‑ups.</w:t>
      </w:r>
    </w:p>
    <w:p w14:paraId="3E6E7D81" w14:textId="77777777" w:rsidR="00F147B0" w:rsidRDefault="00000000">
      <w:pPr>
        <w:numPr>
          <w:ilvl w:val="0"/>
          <w:numId w:val="3"/>
        </w:numPr>
        <w:spacing w:after="210" w:line="360" w:lineRule="auto"/>
      </w:pPr>
      <w:r>
        <w:rPr>
          <w:rFonts w:eastAsia="Georgia" w:hAnsi="Georgia" w:cs="Georgia"/>
          <w:b/>
          <w:color w:val="000000"/>
        </w:rPr>
        <w:t>Thigh (front or outer side)</w:t>
      </w:r>
    </w:p>
    <w:p w14:paraId="2FD189EB" w14:textId="77777777" w:rsidR="00F147B0" w:rsidRDefault="00000000">
      <w:pPr>
        <w:numPr>
          <w:ilvl w:val="1"/>
          <w:numId w:val="3"/>
        </w:numPr>
        <w:spacing w:before="105" w:after="105" w:line="360" w:lineRule="auto"/>
      </w:pPr>
      <w:r>
        <w:rPr>
          <w:rFonts w:eastAsia="Georgia" w:hAnsi="Georgia" w:cs="Georgia"/>
          <w:color w:val="000000"/>
        </w:rPr>
        <w:t>Accessible when seated; easy to see and reach.</w:t>
      </w:r>
    </w:p>
    <w:p w14:paraId="14A4BDDD" w14:textId="77777777" w:rsidR="00F147B0" w:rsidRDefault="00000000">
      <w:pPr>
        <w:numPr>
          <w:ilvl w:val="1"/>
          <w:numId w:val="3"/>
        </w:numPr>
        <w:spacing w:before="105" w:after="105" w:line="360" w:lineRule="auto"/>
      </w:pPr>
      <w:r>
        <w:rPr>
          <w:rFonts w:eastAsia="Georgia" w:hAnsi="Georgia" w:cs="Georgia"/>
          <w:color w:val="000000"/>
        </w:rPr>
        <w:t>Can be helpful when rotating sites in longer research periods.</w:t>
      </w:r>
      <w:bookmarkStart w:id="25" w:name="fnref5_3"/>
      <w:bookmarkEnd w:id="2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6" w:name="fnref1_4"/>
      <w:bookmarkEnd w:id="2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F147153" w14:textId="77777777" w:rsidR="00F147B0" w:rsidRDefault="00000000">
      <w:pPr>
        <w:numPr>
          <w:ilvl w:val="0"/>
          <w:numId w:val="3"/>
        </w:numPr>
        <w:spacing w:after="210" w:line="360" w:lineRule="auto"/>
      </w:pPr>
      <w:r>
        <w:rPr>
          <w:rFonts w:eastAsia="Georgia" w:hAnsi="Georgia" w:cs="Georgia"/>
          <w:b/>
          <w:color w:val="000000"/>
        </w:rPr>
        <w:t>Upper arm (back of the arm)</w:t>
      </w:r>
    </w:p>
    <w:p w14:paraId="1E4C2CCF" w14:textId="77777777" w:rsidR="00F147B0" w:rsidRDefault="00000000">
      <w:pPr>
        <w:numPr>
          <w:ilvl w:val="1"/>
          <w:numId w:val="3"/>
        </w:numPr>
        <w:spacing w:before="105" w:after="105" w:line="360" w:lineRule="auto"/>
      </w:pPr>
      <w:r>
        <w:rPr>
          <w:rFonts w:eastAsia="Georgia" w:hAnsi="Georgia" w:cs="Georgia"/>
          <w:color w:val="000000"/>
        </w:rPr>
        <w:t>Used less often in published peptide protocols but still listed as a legitimate subQ area when enough fat is present.</w:t>
      </w:r>
      <w:bookmarkStart w:id="27" w:name="fnref1_5"/>
      <w:bookmarkEnd w:id="2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8" w:name="fnref5_4"/>
      <w:bookmarkEnd w:id="2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B5FC8C1" w14:textId="77777777" w:rsidR="00F147B0" w:rsidRDefault="00000000">
      <w:pPr>
        <w:numPr>
          <w:ilvl w:val="1"/>
          <w:numId w:val="3"/>
        </w:numPr>
        <w:spacing w:before="105" w:after="105" w:line="360" w:lineRule="auto"/>
      </w:pPr>
      <w:r>
        <w:rPr>
          <w:rFonts w:eastAsia="Georgia" w:hAnsi="Georgia" w:cs="Georgia"/>
          <w:color w:val="000000"/>
        </w:rPr>
        <w:t>Usually easier if a second person is giving the injection.</w:t>
      </w:r>
    </w:p>
    <w:p w14:paraId="54A57FDC" w14:textId="77777777" w:rsidR="00F147B0" w:rsidRDefault="00000000">
      <w:pPr>
        <w:spacing w:after="210" w:line="360" w:lineRule="auto"/>
      </w:pPr>
      <w:r>
        <w:rPr>
          <w:rFonts w:eastAsia="Georgia" w:hAnsi="Georgia" w:cs="Georgia"/>
          <w:color w:val="000000"/>
        </w:rPr>
        <w:t xml:space="preserve">Across these sites, </w:t>
      </w:r>
      <w:r>
        <w:rPr>
          <w:rFonts w:eastAsia="Georgia" w:hAnsi="Georgia" w:cs="Georgia"/>
          <w:b/>
          <w:color w:val="000000"/>
        </w:rPr>
        <w:t>rotation</w:t>
      </w:r>
      <w:r>
        <w:rPr>
          <w:rFonts w:eastAsia="Georgia" w:hAnsi="Georgia" w:cs="Georgia"/>
          <w:color w:val="000000"/>
        </w:rPr>
        <w:t xml:space="preserve"> is strongly encouraged:</w:t>
      </w:r>
    </w:p>
    <w:p w14:paraId="6C26FC8D" w14:textId="77777777" w:rsidR="00F147B0" w:rsidRDefault="00000000">
      <w:pPr>
        <w:numPr>
          <w:ilvl w:val="0"/>
          <w:numId w:val="4"/>
        </w:numPr>
        <w:spacing w:before="105" w:after="105" w:line="360" w:lineRule="auto"/>
      </w:pPr>
      <w:r>
        <w:rPr>
          <w:rFonts w:eastAsia="Georgia" w:hAnsi="Georgia" w:cs="Georgia"/>
          <w:color w:val="000000"/>
        </w:rPr>
        <w:t>Moving from left to right side, and from abdomen to thigh or arm, helps reduce repeated stress in one spot.</w:t>
      </w:r>
    </w:p>
    <w:p w14:paraId="2EB3A110" w14:textId="77777777" w:rsidR="00F147B0" w:rsidRDefault="00000000">
      <w:pPr>
        <w:numPr>
          <w:ilvl w:val="0"/>
          <w:numId w:val="4"/>
        </w:numPr>
        <w:spacing w:before="105" w:after="105" w:line="360" w:lineRule="auto"/>
      </w:pPr>
      <w:r>
        <w:rPr>
          <w:rFonts w:eastAsia="Georgia" w:hAnsi="Georgia" w:cs="Georgia"/>
          <w:color w:val="000000"/>
        </w:rPr>
        <w:t>Rotation is one of the main methods suggested to limit local swelling, redness, or fat‑tissue changes with frequent injections.</w:t>
      </w:r>
      <w:bookmarkStart w:id="29" w:name="fnref4_2"/>
      <w:bookmarkEnd w:id="2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0" w:name="fnref5_5"/>
      <w:bookmarkEnd w:id="30"/>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31" w:name="fnref1_6"/>
      <w:bookmarkEnd w:id="3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C36B5C2" w14:textId="77777777" w:rsidR="00F147B0" w:rsidRDefault="00F45440">
      <w:pPr>
        <w:spacing w:before="210" w:after="0" w:line="360" w:lineRule="auto"/>
      </w:pPr>
      <w:r>
        <w:rPr>
          <w:noProof/>
        </w:rPr>
      </w:r>
      <w:r>
        <w:rPr>
          <w:noProof/>
        </w:rPr>
        <w:pict w14:anchorId="627116A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E7B03E" w14:textId="77777777" w:rsidR="00F147B0" w:rsidRDefault="00000000">
      <w:pPr>
        <w:spacing w:before="315" w:after="105" w:line="360" w:lineRule="auto"/>
        <w:ind w:left="-30"/>
      </w:pPr>
      <w:bookmarkStart w:id="32" w:name="technique_notes_seen_in_research_guides"/>
      <w:r>
        <w:rPr>
          <w:rFonts w:eastAsia="Georgia" w:hAnsi="Georgia" w:cs="Georgia"/>
          <w:b/>
          <w:color w:val="000000"/>
          <w:sz w:val="24"/>
        </w:rPr>
        <w:t>Technique Notes Seen in Research Guides</w:t>
      </w:r>
      <w:bookmarkEnd w:id="32"/>
    </w:p>
    <w:p w14:paraId="6860E90D" w14:textId="77777777" w:rsidR="00F147B0" w:rsidRDefault="00000000">
      <w:pPr>
        <w:spacing w:after="210" w:line="360" w:lineRule="auto"/>
      </w:pPr>
      <w:r>
        <w:rPr>
          <w:rFonts w:eastAsia="Georgia" w:hAnsi="Georgia" w:cs="Georgia"/>
          <w:color w:val="000000"/>
        </w:rPr>
        <w:t>Typical technique details in peptide protocol resources look like this:</w:t>
      </w:r>
      <w:bookmarkStart w:id="33" w:name="fnref5_6"/>
      <w:bookmarkEnd w:id="3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34" w:name="fnref8_3"/>
      <w:bookmarkEnd w:id="34"/>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35" w:name="fnref1_7"/>
      <w:bookmarkEnd w:id="3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8D99035" w14:textId="77777777" w:rsidR="00F147B0" w:rsidRDefault="00000000">
      <w:pPr>
        <w:numPr>
          <w:ilvl w:val="0"/>
          <w:numId w:val="5"/>
        </w:numPr>
        <w:spacing w:before="105" w:after="105" w:line="360" w:lineRule="auto"/>
      </w:pPr>
      <w:r>
        <w:rPr>
          <w:rFonts w:eastAsia="Georgia" w:hAnsi="Georgia" w:cs="Georgia"/>
          <w:color w:val="000000"/>
        </w:rPr>
        <w:t>Use a fine insulin syringe (for example, 27–31G, short needle).</w:t>
      </w:r>
    </w:p>
    <w:p w14:paraId="7D7E1E16" w14:textId="77777777" w:rsidR="00F147B0" w:rsidRDefault="00000000">
      <w:pPr>
        <w:numPr>
          <w:ilvl w:val="0"/>
          <w:numId w:val="5"/>
        </w:numPr>
        <w:spacing w:before="105" w:after="105" w:line="360" w:lineRule="auto"/>
      </w:pPr>
      <w:r>
        <w:rPr>
          <w:rFonts w:eastAsia="Georgia" w:hAnsi="Georgia" w:cs="Georgia"/>
          <w:color w:val="000000"/>
        </w:rPr>
        <w:t>Pinch a fold of skin so the needle clearly enters the fat layer, not muscle.</w:t>
      </w:r>
    </w:p>
    <w:p w14:paraId="6A553437" w14:textId="77777777" w:rsidR="00F147B0" w:rsidRDefault="00000000">
      <w:pPr>
        <w:numPr>
          <w:ilvl w:val="0"/>
          <w:numId w:val="5"/>
        </w:numPr>
        <w:spacing w:before="105" w:after="105" w:line="360" w:lineRule="auto"/>
      </w:pPr>
      <w:r>
        <w:rPr>
          <w:rFonts w:eastAsia="Georgia" w:hAnsi="Georgia" w:cs="Georgia"/>
          <w:color w:val="000000"/>
        </w:rPr>
        <w:t>Insert at about 45–90 degrees depending on needle length and skin thickness.</w:t>
      </w:r>
    </w:p>
    <w:p w14:paraId="61C1167E" w14:textId="77777777" w:rsidR="00F147B0" w:rsidRDefault="00000000">
      <w:pPr>
        <w:numPr>
          <w:ilvl w:val="0"/>
          <w:numId w:val="5"/>
        </w:numPr>
        <w:spacing w:before="105" w:after="105" w:line="360" w:lineRule="auto"/>
      </w:pPr>
      <w:r>
        <w:rPr>
          <w:rFonts w:eastAsia="Georgia" w:hAnsi="Georgia" w:cs="Georgia"/>
          <w:color w:val="000000"/>
        </w:rPr>
        <w:t>Inject steadily, keep the needle in place for a short moment, then withdraw.</w:t>
      </w:r>
    </w:p>
    <w:p w14:paraId="4788CAEC" w14:textId="77777777" w:rsidR="00F147B0" w:rsidRDefault="00000000">
      <w:pPr>
        <w:numPr>
          <w:ilvl w:val="0"/>
          <w:numId w:val="5"/>
        </w:numPr>
        <w:spacing w:before="105" w:after="105" w:line="360" w:lineRule="auto"/>
      </w:pPr>
      <w:r>
        <w:rPr>
          <w:rFonts w:eastAsia="Georgia" w:hAnsi="Georgia" w:cs="Georgia"/>
          <w:color w:val="000000"/>
        </w:rPr>
        <w:t>Clean both the vial stopper and the skin with appropriate antiseptic before and after.</w:t>
      </w:r>
    </w:p>
    <w:p w14:paraId="65DD8FD5" w14:textId="77777777" w:rsidR="00F147B0" w:rsidRDefault="00000000">
      <w:pPr>
        <w:spacing w:after="210" w:line="360" w:lineRule="auto"/>
      </w:pPr>
      <w:r>
        <w:rPr>
          <w:rFonts w:eastAsia="Georgia" w:hAnsi="Georgia" w:cs="Georgia"/>
          <w:color w:val="000000"/>
        </w:rPr>
        <w:t>Timing notes often mentioned:</w:t>
      </w:r>
    </w:p>
    <w:p w14:paraId="7FE3BEE2" w14:textId="77777777" w:rsidR="00F147B0" w:rsidRDefault="00000000">
      <w:pPr>
        <w:numPr>
          <w:ilvl w:val="0"/>
          <w:numId w:val="6"/>
        </w:numPr>
        <w:spacing w:before="105" w:after="105" w:line="360" w:lineRule="auto"/>
      </w:pPr>
      <w:r>
        <w:rPr>
          <w:rFonts w:eastAsia="Georgia" w:hAnsi="Georgia" w:cs="Georgia"/>
          <w:color w:val="000000"/>
        </w:rPr>
        <w:t xml:space="preserve">Many protocols suggest subQ dosing on an </w:t>
      </w:r>
      <w:r>
        <w:rPr>
          <w:rFonts w:eastAsia="Georgia" w:hAnsi="Georgia" w:cs="Georgia"/>
          <w:b/>
          <w:color w:val="000000"/>
        </w:rPr>
        <w:t>empty stomach</w:t>
      </w:r>
      <w:r>
        <w:rPr>
          <w:rFonts w:eastAsia="Georgia" w:hAnsi="Georgia" w:cs="Georgia"/>
          <w:color w:val="000000"/>
        </w:rPr>
        <w:t xml:space="preserve"> or several hours after eating, to avoid blunting of GH release by post‑meal somatostatin and insulin changes.</w:t>
      </w:r>
      <w:bookmarkStart w:id="36" w:name="fnref8_4"/>
      <w:bookmarkEnd w:id="3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37" w:name="fnref5_7"/>
      <w:bookmarkEnd w:id="3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5F1EE281" w14:textId="77777777" w:rsidR="00F147B0" w:rsidRDefault="00000000">
      <w:pPr>
        <w:numPr>
          <w:ilvl w:val="0"/>
          <w:numId w:val="6"/>
        </w:numPr>
        <w:spacing w:before="105" w:after="105" w:line="360" w:lineRule="auto"/>
      </w:pPr>
      <w:r>
        <w:rPr>
          <w:rFonts w:eastAsia="Georgia" w:hAnsi="Georgia" w:cs="Georgia"/>
          <w:color w:val="000000"/>
        </w:rPr>
        <w:lastRenderedPageBreak/>
        <w:t xml:space="preserve">For GH‑axis work, injections are sometimes scheduled in the </w:t>
      </w:r>
      <w:r>
        <w:rPr>
          <w:rFonts w:eastAsia="Georgia" w:hAnsi="Georgia" w:cs="Georgia"/>
          <w:b/>
          <w:color w:val="000000"/>
        </w:rPr>
        <w:t>evening or before sleep</w:t>
      </w:r>
      <w:r>
        <w:rPr>
          <w:rFonts w:eastAsia="Georgia" w:hAnsi="Georgia" w:cs="Georgia"/>
          <w:color w:val="000000"/>
        </w:rPr>
        <w:t xml:space="preserve"> to align with natural nocturnal GH pulse patterns.</w:t>
      </w:r>
      <w:bookmarkStart w:id="38" w:name="fnref9_1"/>
      <w:bookmarkEnd w:id="3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39" w:name="fnref5_8"/>
      <w:bookmarkEnd w:id="3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3EE45930" w14:textId="77777777" w:rsidR="00F147B0" w:rsidRDefault="00000000">
      <w:pPr>
        <w:spacing w:after="210" w:line="360" w:lineRule="auto"/>
      </w:pPr>
      <w:r>
        <w:rPr>
          <w:rFonts w:eastAsia="Georgia" w:hAnsi="Georgia" w:cs="Georgia"/>
          <w:color w:val="000000"/>
        </w:rPr>
        <w:t xml:space="preserve">These are </w:t>
      </w:r>
      <w:r>
        <w:rPr>
          <w:rFonts w:eastAsia="Georgia" w:hAnsi="Georgia" w:cs="Georgia"/>
          <w:b/>
          <w:color w:val="000000"/>
        </w:rPr>
        <w:t>research habits</w:t>
      </w:r>
      <w:r>
        <w:rPr>
          <w:rFonts w:eastAsia="Georgia" w:hAnsi="Georgia" w:cs="Georgia"/>
          <w:color w:val="000000"/>
        </w:rPr>
        <w:t>, not medical rules, but they illustrate how labs try to keep conditions consistent when studying GH pulsatility.</w:t>
      </w:r>
    </w:p>
    <w:p w14:paraId="593E569C" w14:textId="77777777" w:rsidR="00F147B0" w:rsidRDefault="00F45440">
      <w:pPr>
        <w:spacing w:before="210" w:after="0" w:line="360" w:lineRule="auto"/>
      </w:pPr>
      <w:r>
        <w:rPr>
          <w:noProof/>
        </w:rPr>
      </w:r>
      <w:r>
        <w:rPr>
          <w:noProof/>
        </w:rPr>
        <w:pict w14:anchorId="6A3ECA1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8D8626" w14:textId="77777777" w:rsidR="00F147B0" w:rsidRDefault="00000000">
      <w:pPr>
        <w:spacing w:before="315" w:after="105" w:line="360" w:lineRule="auto"/>
        <w:ind w:left="-30"/>
      </w:pPr>
      <w:bookmarkStart w:id="40" w:name="comparing_sites_comfort_and_absorption"/>
      <w:r>
        <w:rPr>
          <w:rFonts w:eastAsia="Georgia" w:hAnsi="Georgia" w:cs="Georgia"/>
          <w:b/>
          <w:color w:val="000000"/>
          <w:sz w:val="24"/>
        </w:rPr>
        <w:t>Comparing Sites: Comfort and Absorption</w:t>
      </w:r>
      <w:bookmarkEnd w:id="40"/>
    </w:p>
    <w:p w14:paraId="1B6033BA" w14:textId="77777777" w:rsidR="00F147B0" w:rsidRDefault="00000000">
      <w:pPr>
        <w:spacing w:after="210" w:line="360" w:lineRule="auto"/>
      </w:pPr>
      <w:r>
        <w:rPr>
          <w:rFonts w:eastAsia="Georgia" w:hAnsi="Georgia" w:cs="Georgia"/>
          <w:color w:val="000000"/>
        </w:rPr>
        <w:t>Direct head‑to‑head human data on “best CJC‑1295 No DAC site” do not exist, but general subQ pharmacokinetic principles and injection‑technique studies offer useful guidance.</w:t>
      </w:r>
      <w:bookmarkStart w:id="41" w:name="fnref4_3"/>
      <w:bookmarkEnd w:id="41"/>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42" w:name="fnref1_8"/>
      <w:bookmarkEnd w:id="4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43" w:name="fnref5_9"/>
      <w:bookmarkEnd w:id="4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54AD2AD4" w14:textId="77777777" w:rsidR="00F147B0" w:rsidRDefault="00000000">
      <w:pPr>
        <w:numPr>
          <w:ilvl w:val="0"/>
          <w:numId w:val="7"/>
        </w:numPr>
        <w:spacing w:after="210" w:line="360" w:lineRule="auto"/>
      </w:pPr>
      <w:r>
        <w:rPr>
          <w:rFonts w:eastAsia="Georgia" w:hAnsi="Georgia" w:cs="Georgia"/>
          <w:b/>
          <w:color w:val="000000"/>
        </w:rPr>
        <w:t>Abdomen</w:t>
      </w:r>
    </w:p>
    <w:p w14:paraId="1250F311" w14:textId="77777777" w:rsidR="00F147B0" w:rsidRDefault="00000000">
      <w:pPr>
        <w:numPr>
          <w:ilvl w:val="1"/>
          <w:numId w:val="7"/>
        </w:numPr>
        <w:spacing w:before="105" w:after="105" w:line="360" w:lineRule="auto"/>
      </w:pPr>
      <w:r>
        <w:rPr>
          <w:rFonts w:eastAsia="Georgia" w:hAnsi="Georgia" w:cs="Georgia"/>
          <w:color w:val="000000"/>
        </w:rPr>
        <w:t xml:space="preserve">Often reported as the </w:t>
      </w:r>
      <w:r>
        <w:rPr>
          <w:rFonts w:eastAsia="Georgia" w:hAnsi="Georgia" w:cs="Georgia"/>
          <w:b/>
          <w:color w:val="000000"/>
        </w:rPr>
        <w:t>least painful</w:t>
      </w:r>
      <w:r>
        <w:rPr>
          <w:rFonts w:eastAsia="Georgia" w:hAnsi="Georgia" w:cs="Georgia"/>
          <w:color w:val="000000"/>
        </w:rPr>
        <w:t xml:space="preserve"> because of the soft, thick fat layer and fewer sensory nerves.</w:t>
      </w:r>
      <w:bookmarkStart w:id="44" w:name="fnref1_9"/>
      <w:bookmarkEnd w:id="4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468983CE" w14:textId="77777777" w:rsidR="00F147B0" w:rsidRDefault="00000000">
      <w:pPr>
        <w:numPr>
          <w:ilvl w:val="1"/>
          <w:numId w:val="7"/>
        </w:numPr>
        <w:spacing w:before="105" w:after="105" w:line="360" w:lineRule="auto"/>
      </w:pPr>
      <w:r>
        <w:rPr>
          <w:rFonts w:eastAsia="Georgia" w:hAnsi="Georgia" w:cs="Georgia"/>
          <w:color w:val="000000"/>
        </w:rPr>
        <w:t>Absorption is usually described as moderate and consistent, with peak levels around 30–60 minutes in many subQ models.</w:t>
      </w:r>
      <w:bookmarkStart w:id="45" w:name="fnref2_3"/>
      <w:bookmarkEnd w:id="4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6" w:name="fnref1_10"/>
      <w:bookmarkEnd w:id="4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24924B42" w14:textId="77777777" w:rsidR="00F147B0" w:rsidRDefault="00000000">
      <w:pPr>
        <w:numPr>
          <w:ilvl w:val="0"/>
          <w:numId w:val="7"/>
        </w:numPr>
        <w:spacing w:after="210" w:line="360" w:lineRule="auto"/>
      </w:pPr>
      <w:r>
        <w:rPr>
          <w:rFonts w:eastAsia="Georgia" w:hAnsi="Georgia" w:cs="Georgia"/>
          <w:b/>
          <w:color w:val="000000"/>
        </w:rPr>
        <w:t>Thigh</w:t>
      </w:r>
    </w:p>
    <w:p w14:paraId="1B5DD927" w14:textId="77777777" w:rsidR="00F147B0" w:rsidRDefault="00000000">
      <w:pPr>
        <w:numPr>
          <w:ilvl w:val="1"/>
          <w:numId w:val="7"/>
        </w:numPr>
        <w:spacing w:before="105" w:after="105" w:line="360" w:lineRule="auto"/>
      </w:pPr>
      <w:r>
        <w:rPr>
          <w:rFonts w:eastAsia="Georgia" w:hAnsi="Georgia" w:cs="Georgia"/>
          <w:color w:val="000000"/>
        </w:rPr>
        <w:t>Pain perception is more variable; some people find it comfortable, while others notice more sting if the needle goes too deep toward muscle.</w:t>
      </w:r>
      <w:bookmarkStart w:id="47" w:name="fnref5_10"/>
      <w:bookmarkEnd w:id="4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48" w:name="fnref1_11"/>
      <w:bookmarkEnd w:id="4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A606D27" w14:textId="77777777" w:rsidR="00F147B0" w:rsidRDefault="00000000">
      <w:pPr>
        <w:numPr>
          <w:ilvl w:val="1"/>
          <w:numId w:val="7"/>
        </w:numPr>
        <w:spacing w:before="105" w:after="105" w:line="360" w:lineRule="auto"/>
      </w:pPr>
      <w:r>
        <w:rPr>
          <w:rFonts w:eastAsia="Georgia" w:hAnsi="Georgia" w:cs="Georgia"/>
          <w:color w:val="000000"/>
        </w:rPr>
        <w:t>Absorption may be slightly slower on average due to different fat and blood‑flow patterns, but this rarely causes major differences when technique and dosing are consistent.</w:t>
      </w:r>
      <w:bookmarkStart w:id="49" w:name="fnref5_11"/>
      <w:bookmarkEnd w:id="4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0487604" w14:textId="77777777" w:rsidR="00F147B0" w:rsidRDefault="00000000">
      <w:pPr>
        <w:numPr>
          <w:ilvl w:val="0"/>
          <w:numId w:val="7"/>
        </w:numPr>
        <w:spacing w:after="210" w:line="360" w:lineRule="auto"/>
      </w:pPr>
      <w:r>
        <w:rPr>
          <w:rFonts w:eastAsia="Georgia" w:hAnsi="Georgia" w:cs="Georgia"/>
          <w:b/>
          <w:color w:val="000000"/>
        </w:rPr>
        <w:t>Upper arm</w:t>
      </w:r>
    </w:p>
    <w:p w14:paraId="56E4533D" w14:textId="77777777" w:rsidR="00F147B0" w:rsidRDefault="00000000">
      <w:pPr>
        <w:numPr>
          <w:ilvl w:val="1"/>
          <w:numId w:val="7"/>
        </w:numPr>
        <w:spacing w:before="105" w:after="105" w:line="360" w:lineRule="auto"/>
      </w:pPr>
      <w:r>
        <w:rPr>
          <w:rFonts w:eastAsia="Georgia" w:hAnsi="Georgia" w:cs="Georgia"/>
          <w:color w:val="000000"/>
        </w:rPr>
        <w:t>Comfort and absorption can swing depending on how much fat is present and how easy the area is to reach.</w:t>
      </w:r>
      <w:bookmarkStart w:id="50" w:name="fnref1_12"/>
      <w:bookmarkEnd w:id="5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05A388F" w14:textId="77777777" w:rsidR="00F147B0" w:rsidRDefault="00000000">
      <w:pPr>
        <w:numPr>
          <w:ilvl w:val="1"/>
          <w:numId w:val="7"/>
        </w:numPr>
        <w:spacing w:before="105" w:after="105" w:line="360" w:lineRule="auto"/>
      </w:pPr>
      <w:r>
        <w:rPr>
          <w:rFonts w:eastAsia="Georgia" w:hAnsi="Georgia" w:cs="Georgia"/>
          <w:color w:val="000000"/>
        </w:rPr>
        <w:t>Under‑researched compared with abdomen/thigh in peptide‑specific studies, but widely used as a general subQ site in other drug classes.</w:t>
      </w:r>
      <w:bookmarkStart w:id="51" w:name="fnref5_12"/>
      <w:bookmarkEnd w:id="5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703880EA" w14:textId="77777777" w:rsidR="00F147B0" w:rsidRDefault="00000000">
      <w:pPr>
        <w:spacing w:after="210" w:line="360" w:lineRule="auto"/>
      </w:pPr>
      <w:r>
        <w:rPr>
          <w:rFonts w:eastAsia="Georgia" w:hAnsi="Georgia" w:cs="Georgia"/>
          <w:color w:val="000000"/>
        </w:rPr>
        <w:t xml:space="preserve">In summary, </w:t>
      </w:r>
      <w:r>
        <w:rPr>
          <w:rFonts w:eastAsia="Georgia" w:hAnsi="Georgia" w:cs="Georgia"/>
          <w:b/>
          <w:color w:val="000000"/>
        </w:rPr>
        <w:t>no single site has been proven “best”</w:t>
      </w:r>
      <w:r>
        <w:rPr>
          <w:rFonts w:eastAsia="Georgia" w:hAnsi="Georgia" w:cs="Georgia"/>
          <w:color w:val="000000"/>
        </w:rPr>
        <w:t xml:space="preserve"> for CJC‑1295 (No DAC) in terms of GH/IGF‑1 outcomes. Published guidance and expert protocols mainly stress </w:t>
      </w:r>
      <w:r>
        <w:rPr>
          <w:rFonts w:eastAsia="Georgia" w:hAnsi="Georgia" w:cs="Georgia"/>
          <w:b/>
          <w:color w:val="000000"/>
        </w:rPr>
        <w:t>correct depth, clean technique, and rotation</w:t>
      </w:r>
      <w:r>
        <w:rPr>
          <w:rFonts w:eastAsia="Georgia" w:hAnsi="Georgia" w:cs="Georgia"/>
          <w:color w:val="000000"/>
        </w:rPr>
        <w:t xml:space="preserve"> as the key drivers of consistent results.</w:t>
      </w:r>
      <w:bookmarkStart w:id="52" w:name="fnref4_4"/>
      <w:bookmarkEnd w:id="5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53" w:name="fnref1_13"/>
      <w:bookmarkEnd w:id="5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4" w:name="fnref5_13"/>
      <w:bookmarkEnd w:id="54"/>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2B68F56" w14:textId="77777777" w:rsidR="00F147B0" w:rsidRDefault="00F45440">
      <w:pPr>
        <w:spacing w:before="210" w:after="0" w:line="360" w:lineRule="auto"/>
      </w:pPr>
      <w:r>
        <w:rPr>
          <w:noProof/>
        </w:rPr>
      </w:r>
      <w:r>
        <w:rPr>
          <w:noProof/>
        </w:rPr>
        <w:pict w14:anchorId="28A41F6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A5B9AB" w14:textId="77777777" w:rsidR="00F147B0" w:rsidRDefault="00000000">
      <w:pPr>
        <w:spacing w:before="315" w:after="105" w:line="360" w:lineRule="auto"/>
        <w:ind w:left="-30"/>
      </w:pPr>
      <w:bookmarkStart w:id="55" w:name="safety_notes_in_the_research_context"/>
      <w:r>
        <w:rPr>
          <w:rFonts w:eastAsia="Georgia" w:hAnsi="Georgia" w:cs="Georgia"/>
          <w:b/>
          <w:color w:val="000000"/>
          <w:sz w:val="24"/>
        </w:rPr>
        <w:t>Safety Notes in the Research Context</w:t>
      </w:r>
      <w:bookmarkEnd w:id="55"/>
    </w:p>
    <w:p w14:paraId="20D0D6C0" w14:textId="77777777" w:rsidR="00F147B0" w:rsidRDefault="00000000">
      <w:pPr>
        <w:spacing w:after="210" w:line="360" w:lineRule="auto"/>
      </w:pPr>
      <w:r>
        <w:rPr>
          <w:rFonts w:eastAsia="Georgia" w:hAnsi="Georgia" w:cs="Georgia"/>
          <w:color w:val="000000"/>
        </w:rPr>
        <w:lastRenderedPageBreak/>
        <w:t>Because CJC‑1295 No DAC was never developed as an approved drug, its human safety profile is less fully mapped than that of the long‑acting DAC version.</w:t>
      </w:r>
      <w:bookmarkStart w:id="56" w:name="fnref3_3"/>
      <w:bookmarkEnd w:id="5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7" w:name="fnref4_5"/>
      <w:bookmarkEnd w:id="57"/>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06CB4085" w14:textId="77777777" w:rsidR="00F147B0" w:rsidRDefault="00000000">
      <w:pPr>
        <w:spacing w:after="210" w:line="360" w:lineRule="auto"/>
      </w:pPr>
      <w:r>
        <w:rPr>
          <w:rFonts w:eastAsia="Georgia" w:hAnsi="Georgia" w:cs="Georgia"/>
          <w:color w:val="000000"/>
        </w:rPr>
        <w:t>Research and review pieces highlight:</w:t>
      </w:r>
    </w:p>
    <w:p w14:paraId="3E76EDB5" w14:textId="77777777" w:rsidR="00F147B0" w:rsidRDefault="00000000">
      <w:pPr>
        <w:numPr>
          <w:ilvl w:val="0"/>
          <w:numId w:val="8"/>
        </w:numPr>
        <w:spacing w:before="105" w:after="105" w:line="360" w:lineRule="auto"/>
      </w:pPr>
      <w:r>
        <w:rPr>
          <w:rFonts w:eastAsia="Georgia" w:hAnsi="Georgia" w:cs="Georgia"/>
          <w:color w:val="000000"/>
        </w:rPr>
        <w:t xml:space="preserve">Short half‑life (~30 minutes) leading to </w:t>
      </w:r>
      <w:r>
        <w:rPr>
          <w:rFonts w:eastAsia="Georgia" w:hAnsi="Georgia" w:cs="Georgia"/>
          <w:b/>
          <w:color w:val="000000"/>
        </w:rPr>
        <w:t>frequent injections</w:t>
      </w:r>
      <w:r>
        <w:rPr>
          <w:rFonts w:eastAsia="Georgia" w:hAnsi="Georgia" w:cs="Georgia"/>
          <w:color w:val="000000"/>
        </w:rPr>
        <w:t xml:space="preserve"> in pulsatile‑GH protocols.</w:t>
      </w:r>
      <w:bookmarkStart w:id="58" w:name="fnref3_4"/>
      <w:bookmarkEnd w:id="5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9" w:name="fnref4_6"/>
      <w:bookmarkEnd w:id="5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738A05DA" w14:textId="77777777" w:rsidR="00F147B0" w:rsidRDefault="00000000">
      <w:pPr>
        <w:numPr>
          <w:ilvl w:val="0"/>
          <w:numId w:val="8"/>
        </w:numPr>
        <w:spacing w:before="105" w:after="105" w:line="360" w:lineRule="auto"/>
      </w:pPr>
      <w:r>
        <w:rPr>
          <w:rFonts w:eastAsia="Georgia" w:hAnsi="Georgia" w:cs="Georgia"/>
          <w:color w:val="000000"/>
        </w:rPr>
        <w:t>Local reactions such as redness, itching, or small nodules at injection sites in a noticeable percentage of research subjects, especially with long‑term, multi‑week use.</w:t>
      </w:r>
      <w:bookmarkStart w:id="60" w:name="fnref4_7"/>
      <w:bookmarkEnd w:id="6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10F78E1" w14:textId="77777777" w:rsidR="00F147B0" w:rsidRDefault="00000000">
      <w:pPr>
        <w:numPr>
          <w:ilvl w:val="0"/>
          <w:numId w:val="8"/>
        </w:numPr>
        <w:spacing w:before="105" w:after="105" w:line="360" w:lineRule="auto"/>
      </w:pPr>
      <w:r>
        <w:rPr>
          <w:rFonts w:eastAsia="Georgia" w:hAnsi="Georgia" w:cs="Georgia"/>
          <w:color w:val="000000"/>
        </w:rPr>
        <w:t>Systemic effects like flushing or transient discomfort reported in a minority of subjects, with long‑term risk still uncertain.</w:t>
      </w:r>
      <w:bookmarkStart w:id="61" w:name="fnref2_4"/>
      <w:bookmarkEnd w:id="6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62" w:name="fnref4_8"/>
      <w:bookmarkEnd w:id="6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99D0CCF" w14:textId="77777777" w:rsidR="00F147B0" w:rsidRDefault="00000000">
      <w:pPr>
        <w:spacing w:after="210" w:line="360" w:lineRule="auto"/>
      </w:pPr>
      <w:r>
        <w:rPr>
          <w:rFonts w:eastAsia="Georgia" w:hAnsi="Georgia" w:cs="Georgia"/>
          <w:color w:val="000000"/>
        </w:rPr>
        <w:t xml:space="preserve">These points are a reminder that CJC‑1295 No DAC should stay in the </w:t>
      </w:r>
      <w:r>
        <w:rPr>
          <w:rFonts w:eastAsia="Georgia" w:hAnsi="Georgia" w:cs="Georgia"/>
          <w:b/>
          <w:color w:val="000000"/>
        </w:rPr>
        <w:t>laboratory and controlled research space</w:t>
      </w:r>
      <w:r>
        <w:rPr>
          <w:rFonts w:eastAsia="Georgia" w:hAnsi="Georgia" w:cs="Georgia"/>
          <w:color w:val="000000"/>
        </w:rPr>
        <w:t>, under proper oversight and with formal protocols and ethics approvals in place.</w:t>
      </w:r>
    </w:p>
    <w:p w14:paraId="39011619" w14:textId="77777777" w:rsidR="00F147B0" w:rsidRDefault="00F45440">
      <w:pPr>
        <w:spacing w:before="210" w:after="0" w:line="360" w:lineRule="auto"/>
      </w:pPr>
      <w:r>
        <w:rPr>
          <w:noProof/>
        </w:rPr>
      </w:r>
      <w:r>
        <w:rPr>
          <w:noProof/>
        </w:rPr>
        <w:pict w14:anchorId="0D758E1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B9A00F" w14:textId="77777777" w:rsidR="00F147B0" w:rsidRDefault="00000000">
      <w:pPr>
        <w:spacing w:after="210" w:line="360" w:lineRule="auto"/>
      </w:pPr>
      <w:r>
        <w:rPr>
          <w:rFonts w:eastAsia="Georgia" w:hAnsi="Georgia" w:cs="Georgia"/>
          <w:color w:val="000000"/>
        </w:rPr>
        <w:t>If you want this adapted next, would you prefer a shorter “FAQ style” version for PeptraBio (with 5–6 common questions and brief answers), or do you want a comparison blog next: “CJC‑1295 With DAC vs No DAC – What’s Different in Research?”</w:t>
      </w:r>
      <w:r>
        <w:rPr>
          <w:rFonts w:eastAsia="Georgia" w:hAnsi="Georgia" w:cs="Georgia"/>
          <w:color w:val="000000"/>
        </w:rPr>
        <w:br/>
      </w:r>
    </w:p>
    <w:p w14:paraId="613E5DA0" w14:textId="77777777" w:rsidR="00F147B0" w:rsidRDefault="00000000">
      <w:pPr>
        <w:spacing w:line="360" w:lineRule="auto"/>
      </w:pPr>
      <w:r>
        <w:rPr>
          <w:rFonts w:eastAsia="Georgia" w:hAnsi="Georgia" w:cs="Georgia"/>
          <w:color w:val="000000"/>
        </w:rPr>
        <w:t>⁂</w:t>
      </w:r>
    </w:p>
    <w:p w14:paraId="309ABED5" w14:textId="77777777" w:rsidR="00F147B0" w:rsidRDefault="00F45440">
      <w:pPr>
        <w:spacing w:before="210" w:after="0" w:line="360" w:lineRule="auto"/>
      </w:pPr>
      <w:r>
        <w:rPr>
          <w:noProof/>
        </w:rPr>
      </w:r>
      <w:r>
        <w:rPr>
          <w:noProof/>
        </w:rPr>
        <w:pict w14:anchorId="1980ADB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3" w:name="fn1"/>
    <w:bookmarkEnd w:id="63"/>
    <w:p w14:paraId="3B97C6F3" w14:textId="77777777" w:rsidR="00F147B0" w:rsidRDefault="00000000">
      <w:pPr>
        <w:numPr>
          <w:ilvl w:val="0"/>
          <w:numId w:val="10"/>
        </w:numPr>
        <w:spacing w:after="210" w:line="360" w:lineRule="auto"/>
      </w:pPr>
      <w:r>
        <w:fldChar w:fldCharType="begin"/>
      </w:r>
      <w:r>
        <w:instrText>HYPERLINK "https://orionpeptides.org/where-is-the-best-place-to-inject-cjc-1295-no-dac/" \h</w:instrText>
      </w:r>
      <w:r>
        <w:fldChar w:fldCharType="separate"/>
      </w:r>
      <w:r>
        <w:rPr>
          <w:rFonts w:ascii="Helvetica Neue" w:eastAsia="Helvetica Neue" w:hAnsi="Helvetica Neue" w:cs="Helvetica Neue"/>
          <w:sz w:val="18"/>
          <w:u w:val="single"/>
        </w:rPr>
        <w:t>https://orionpeptides.org/where-is-the-best-place-to-inject-cjc-1295-no-dac/</w:t>
      </w:r>
      <w:r>
        <w:fldChar w:fldCharType="end"/>
      </w:r>
      <w:r>
        <w:rPr>
          <w:rFonts w:eastAsia="Georgia" w:hAnsi="Georgia" w:cs="Georgia"/>
          <w:color w:val="000000"/>
          <w:sz w:val="18"/>
        </w:rPr>
        <w:t xml:space="preserve">              </w:t>
      </w:r>
    </w:p>
    <w:bookmarkStart w:id="64" w:name="fn2"/>
    <w:bookmarkEnd w:id="64"/>
    <w:p w14:paraId="48B81C63" w14:textId="77777777" w:rsidR="00F147B0" w:rsidRDefault="00000000">
      <w:pPr>
        <w:numPr>
          <w:ilvl w:val="0"/>
          <w:numId w:val="10"/>
        </w:numPr>
        <w:spacing w:after="210" w:line="360" w:lineRule="auto"/>
      </w:pPr>
      <w:r>
        <w:fldChar w:fldCharType="begin"/>
      </w:r>
      <w:r>
        <w:instrText>HYPERLINK "https://pubmed.ncbi.nlm.nih.gov/16352683/" \h</w:instrText>
      </w:r>
      <w:r>
        <w:fldChar w:fldCharType="separate"/>
      </w:r>
      <w:r>
        <w:rPr>
          <w:rFonts w:ascii="Helvetica Neue" w:eastAsia="Helvetica Neue" w:hAnsi="Helvetica Neue" w:cs="Helvetica Neue"/>
          <w:sz w:val="18"/>
          <w:u w:val="single"/>
        </w:rPr>
        <w:t>https://pubmed.ncbi.nlm.nih.gov/16352683/</w:t>
      </w:r>
      <w:r>
        <w:fldChar w:fldCharType="end"/>
      </w:r>
      <w:r>
        <w:rPr>
          <w:rFonts w:eastAsia="Georgia" w:hAnsi="Georgia" w:cs="Georgia"/>
          <w:color w:val="000000"/>
          <w:sz w:val="18"/>
        </w:rPr>
        <w:t xml:space="preserve">     </w:t>
      </w:r>
    </w:p>
    <w:bookmarkStart w:id="65" w:name="fn3"/>
    <w:bookmarkEnd w:id="65"/>
    <w:p w14:paraId="5A25E013" w14:textId="77777777" w:rsidR="00F147B0" w:rsidRDefault="00000000">
      <w:pPr>
        <w:numPr>
          <w:ilvl w:val="0"/>
          <w:numId w:val="10"/>
        </w:numPr>
        <w:spacing w:after="210" w:line="360" w:lineRule="auto"/>
      </w:pPr>
      <w:r>
        <w:fldChar w:fldCharType="begin"/>
      </w:r>
      <w:r>
        <w:instrText>HYPERLINK "https://peptidings.com/peptides/cjc-1295/" \h</w:instrText>
      </w:r>
      <w:r>
        <w:fldChar w:fldCharType="separate"/>
      </w:r>
      <w:r>
        <w:rPr>
          <w:rFonts w:ascii="Helvetica Neue" w:eastAsia="Helvetica Neue" w:hAnsi="Helvetica Neue" w:cs="Helvetica Neue"/>
          <w:sz w:val="18"/>
          <w:u w:val="single"/>
        </w:rPr>
        <w:t>https://peptidings.com/peptides/cjc-1295/</w:t>
      </w:r>
      <w:r>
        <w:fldChar w:fldCharType="end"/>
      </w:r>
      <w:r>
        <w:rPr>
          <w:rFonts w:eastAsia="Georgia" w:hAnsi="Georgia" w:cs="Georgia"/>
          <w:color w:val="000000"/>
          <w:sz w:val="18"/>
        </w:rPr>
        <w:t xml:space="preserve">     </w:t>
      </w:r>
    </w:p>
    <w:bookmarkStart w:id="66" w:name="fn4"/>
    <w:bookmarkEnd w:id="66"/>
    <w:p w14:paraId="7A121822" w14:textId="77777777" w:rsidR="00F147B0" w:rsidRDefault="00000000">
      <w:pPr>
        <w:numPr>
          <w:ilvl w:val="0"/>
          <w:numId w:val="10"/>
        </w:numPr>
        <w:spacing w:after="210" w:line="360" w:lineRule="auto"/>
      </w:pPr>
      <w:r>
        <w:fldChar w:fldCharType="begin"/>
      </w:r>
      <w:r>
        <w:instrText>HYPERLINK "https://www.realpeptides.co/cjc-1295-no-dac-safety-profile/" \h</w:instrText>
      </w:r>
      <w:r>
        <w:fldChar w:fldCharType="separate"/>
      </w:r>
      <w:r>
        <w:rPr>
          <w:rFonts w:ascii="Helvetica Neue" w:eastAsia="Helvetica Neue" w:hAnsi="Helvetica Neue" w:cs="Helvetica Neue"/>
          <w:sz w:val="18"/>
          <w:u w:val="single"/>
        </w:rPr>
        <w:t>https://www.realpeptides.co/cjc-1295-no-dac-safety-profile/</w:t>
      </w:r>
      <w:r>
        <w:fldChar w:fldCharType="end"/>
      </w:r>
      <w:r>
        <w:rPr>
          <w:rFonts w:eastAsia="Georgia" w:hAnsi="Georgia" w:cs="Georgia"/>
          <w:color w:val="000000"/>
          <w:sz w:val="18"/>
        </w:rPr>
        <w:t xml:space="preserve">         </w:t>
      </w:r>
    </w:p>
    <w:bookmarkStart w:id="67" w:name="fn5"/>
    <w:bookmarkEnd w:id="67"/>
    <w:p w14:paraId="2334CB63" w14:textId="77777777" w:rsidR="00F147B0" w:rsidRDefault="00000000">
      <w:pPr>
        <w:numPr>
          <w:ilvl w:val="0"/>
          <w:numId w:val="10"/>
        </w:numPr>
        <w:spacing w:after="210" w:line="360" w:lineRule="auto"/>
      </w:pPr>
      <w:r>
        <w:fldChar w:fldCharType="begin"/>
      </w:r>
      <w:r>
        <w:instrText>HYPERLINK "https://www.peptideprotocolwiki.com/peptides/cjc-1295-no-dac/dosing" \h</w:instrText>
      </w:r>
      <w:r>
        <w:fldChar w:fldCharType="separate"/>
      </w:r>
      <w:r>
        <w:rPr>
          <w:rFonts w:ascii="Helvetica Neue" w:eastAsia="Helvetica Neue" w:hAnsi="Helvetica Neue" w:cs="Helvetica Neue"/>
          <w:sz w:val="18"/>
          <w:u w:val="single"/>
        </w:rPr>
        <w:t>https://www.peptideprotocolwiki.com/peptides/cjc-1295-no-dac/dosing</w:t>
      </w:r>
      <w:r>
        <w:fldChar w:fldCharType="end"/>
      </w:r>
      <w:r>
        <w:rPr>
          <w:rFonts w:eastAsia="Georgia" w:hAnsi="Georgia" w:cs="Georgia"/>
          <w:color w:val="000000"/>
          <w:sz w:val="18"/>
        </w:rPr>
        <w:t xml:space="preserve">              </w:t>
      </w:r>
    </w:p>
    <w:bookmarkStart w:id="68" w:name="fn6"/>
    <w:bookmarkEnd w:id="68"/>
    <w:p w14:paraId="3B6B5255" w14:textId="77777777" w:rsidR="00F147B0" w:rsidRDefault="00000000">
      <w:pPr>
        <w:numPr>
          <w:ilvl w:val="0"/>
          <w:numId w:val="10"/>
        </w:numPr>
        <w:spacing w:after="210" w:line="360" w:lineRule="auto"/>
      </w:pPr>
      <w:r>
        <w:fldChar w:fldCharType="begin"/>
      </w:r>
      <w:r>
        <w:instrText>HYPERLINK "https://onlinelibrary.wiley.com/doi/10.1002/rco2.9" \h</w:instrText>
      </w:r>
      <w:r>
        <w:fldChar w:fldCharType="separate"/>
      </w:r>
      <w:r>
        <w:rPr>
          <w:rFonts w:ascii="Helvetica Neue" w:eastAsia="Helvetica Neue" w:hAnsi="Helvetica Neue" w:cs="Helvetica Neue"/>
          <w:sz w:val="18"/>
          <w:u w:val="single"/>
        </w:rPr>
        <w:t>https://onlinelibrary.wiley.com/doi/10.1002/rco2.9</w:t>
      </w:r>
      <w:r>
        <w:fldChar w:fldCharType="end"/>
      </w:r>
      <w:r>
        <w:rPr>
          <w:rFonts w:eastAsia="Georgia" w:hAnsi="Georgia" w:cs="Georgia"/>
          <w:color w:val="000000"/>
          <w:sz w:val="18"/>
        </w:rPr>
        <w:t xml:space="preserve"> </w:t>
      </w:r>
    </w:p>
    <w:bookmarkStart w:id="69" w:name="fn7"/>
    <w:bookmarkEnd w:id="69"/>
    <w:p w14:paraId="1F4257A7" w14:textId="77777777" w:rsidR="00F147B0" w:rsidRDefault="00000000">
      <w:pPr>
        <w:numPr>
          <w:ilvl w:val="0"/>
          <w:numId w:val="10"/>
        </w:numPr>
        <w:spacing w:after="210" w:line="360" w:lineRule="auto"/>
      </w:pPr>
      <w:r>
        <w:fldChar w:fldCharType="begin"/>
      </w:r>
      <w:r>
        <w:instrText>HYPERLINK "https://pubmed.ncbi.nlm.nih.gov/17018654/" \h</w:instrText>
      </w:r>
      <w:r>
        <w:fldChar w:fldCharType="separate"/>
      </w:r>
      <w:r>
        <w:rPr>
          <w:rFonts w:ascii="Helvetica Neue" w:eastAsia="Helvetica Neue" w:hAnsi="Helvetica Neue" w:cs="Helvetica Neue"/>
          <w:sz w:val="18"/>
          <w:u w:val="single"/>
        </w:rPr>
        <w:t>https://pubmed.ncbi.nlm.nih.gov/17018654/</w:t>
      </w:r>
      <w:r>
        <w:fldChar w:fldCharType="end"/>
      </w:r>
      <w:r>
        <w:rPr>
          <w:rFonts w:eastAsia="Georgia" w:hAnsi="Georgia" w:cs="Georgia"/>
          <w:color w:val="000000"/>
          <w:sz w:val="18"/>
        </w:rPr>
        <w:t xml:space="preserve"> </w:t>
      </w:r>
    </w:p>
    <w:bookmarkStart w:id="70" w:name="fn8"/>
    <w:bookmarkEnd w:id="70"/>
    <w:p w14:paraId="4F29742A" w14:textId="77777777" w:rsidR="00F147B0" w:rsidRDefault="00000000">
      <w:pPr>
        <w:numPr>
          <w:ilvl w:val="0"/>
          <w:numId w:val="10"/>
        </w:numPr>
        <w:spacing w:after="210" w:line="360" w:lineRule="auto"/>
      </w:pPr>
      <w:r>
        <w:fldChar w:fldCharType="begin"/>
      </w:r>
      <w:r>
        <w:instrText>HYPERLINK "https://peptideinitiative.com/peptides/protocols/cjc-1295-no-dac-protocol" \h</w:instrText>
      </w:r>
      <w:r>
        <w:fldChar w:fldCharType="separate"/>
      </w:r>
      <w:r>
        <w:rPr>
          <w:rFonts w:ascii="Helvetica Neue" w:eastAsia="Helvetica Neue" w:hAnsi="Helvetica Neue" w:cs="Helvetica Neue"/>
          <w:sz w:val="18"/>
          <w:u w:val="single"/>
        </w:rPr>
        <w:t>https://peptideinitiative.com/peptides/protocols/cjc-1295-no-dac-protocol</w:t>
      </w:r>
      <w:r>
        <w:fldChar w:fldCharType="end"/>
      </w:r>
      <w:r>
        <w:rPr>
          <w:rFonts w:eastAsia="Georgia" w:hAnsi="Georgia" w:cs="Georgia"/>
          <w:color w:val="000000"/>
          <w:sz w:val="18"/>
        </w:rPr>
        <w:t xml:space="preserve">     </w:t>
      </w:r>
    </w:p>
    <w:bookmarkStart w:id="71" w:name="fn9"/>
    <w:bookmarkEnd w:id="71"/>
    <w:p w14:paraId="045A4894" w14:textId="77777777" w:rsidR="00F147B0" w:rsidRDefault="00000000">
      <w:pPr>
        <w:numPr>
          <w:ilvl w:val="0"/>
          <w:numId w:val="10"/>
        </w:numPr>
        <w:spacing w:after="210" w:line="360" w:lineRule="auto"/>
      </w:pPr>
      <w:r>
        <w:fldChar w:fldCharType="begin"/>
      </w:r>
      <w:r>
        <w:instrText>HYPERLINK "https://peptideinitiative.com/peptides/cjc-1295-no-dac" \h</w:instrText>
      </w:r>
      <w:r>
        <w:fldChar w:fldCharType="separate"/>
      </w:r>
      <w:r>
        <w:rPr>
          <w:rFonts w:ascii="Helvetica Neue" w:eastAsia="Helvetica Neue" w:hAnsi="Helvetica Neue" w:cs="Helvetica Neue"/>
          <w:sz w:val="18"/>
          <w:u w:val="single"/>
        </w:rPr>
        <w:t>https://peptideinitiative.com/peptides/cjc-1295-no-dac</w:t>
      </w:r>
      <w:r>
        <w:fldChar w:fldCharType="end"/>
      </w:r>
      <w:r>
        <w:rPr>
          <w:rFonts w:eastAsia="Georgia" w:hAnsi="Georgia" w:cs="Georgia"/>
          <w:color w:val="000000"/>
          <w:sz w:val="18"/>
        </w:rPr>
        <w:t xml:space="preserve">  </w:t>
      </w:r>
    </w:p>
    <w:bookmarkStart w:id="72" w:name="fn10"/>
    <w:bookmarkEnd w:id="72"/>
    <w:p w14:paraId="169EF6A9" w14:textId="77777777" w:rsidR="00F147B0" w:rsidRDefault="00000000">
      <w:pPr>
        <w:numPr>
          <w:ilvl w:val="0"/>
          <w:numId w:val="10"/>
        </w:numPr>
        <w:spacing w:after="210" w:line="360" w:lineRule="auto"/>
      </w:pPr>
      <w:r>
        <w:fldChar w:fldCharType="begin"/>
      </w:r>
      <w:r>
        <w:instrText>HYPERLINK "https://en.wikipedia.org/wiki/CJC-1295" \h</w:instrText>
      </w:r>
      <w:r>
        <w:fldChar w:fldCharType="separate"/>
      </w:r>
      <w:r>
        <w:rPr>
          <w:rFonts w:ascii="Helvetica Neue" w:eastAsia="Helvetica Neue" w:hAnsi="Helvetica Neue" w:cs="Helvetica Neue"/>
          <w:sz w:val="18"/>
          <w:u w:val="single"/>
        </w:rPr>
        <w:t>https://en.wikipedia.org/wiki/CJC-1295</w:t>
      </w:r>
      <w:r>
        <w:fldChar w:fldCharType="end"/>
      </w:r>
      <w:r>
        <w:rPr>
          <w:rFonts w:eastAsia="Georgia" w:hAnsi="Georgia" w:cs="Georgia"/>
          <w:color w:val="000000"/>
          <w:sz w:val="18"/>
        </w:rPr>
        <w:t xml:space="preserve"> </w:t>
      </w:r>
    </w:p>
    <w:bookmarkStart w:id="73" w:name="fn11"/>
    <w:bookmarkEnd w:id="73"/>
    <w:p w14:paraId="6B698144" w14:textId="77777777" w:rsidR="00F147B0" w:rsidRDefault="00000000">
      <w:pPr>
        <w:numPr>
          <w:ilvl w:val="0"/>
          <w:numId w:val="10"/>
        </w:numPr>
        <w:spacing w:after="210" w:line="360" w:lineRule="auto"/>
      </w:pPr>
      <w:r>
        <w:lastRenderedPageBreak/>
        <w:fldChar w:fldCharType="begin"/>
      </w:r>
      <w:r>
        <w:instrText>HYPERLINK "https://luminpeptides.com/cjc-1295-with-dac-vs-without-whats-the-real-difference-in-research/" \h</w:instrText>
      </w:r>
      <w:r>
        <w:fldChar w:fldCharType="separate"/>
      </w:r>
      <w:r>
        <w:rPr>
          <w:rFonts w:ascii="Helvetica Neue" w:eastAsia="Helvetica Neue" w:hAnsi="Helvetica Neue" w:cs="Helvetica Neue"/>
          <w:sz w:val="18"/>
          <w:u w:val="single"/>
        </w:rPr>
        <w:t>https://luminpeptides.com/cjc-1295-with-dac-vs-without-whats-the-real-difference-in-research/</w:t>
      </w:r>
      <w:r>
        <w:fldChar w:fldCharType="end"/>
      </w:r>
      <w:r>
        <w:rPr>
          <w:rFonts w:eastAsia="Georgia" w:hAnsi="Georgia" w:cs="Georgia"/>
          <w:color w:val="000000"/>
          <w:sz w:val="18"/>
        </w:rPr>
        <w:t xml:space="preserve"> </w:t>
      </w:r>
    </w:p>
    <w:bookmarkStart w:id="74" w:name="fn12"/>
    <w:bookmarkEnd w:id="74"/>
    <w:p w14:paraId="4990FFAB" w14:textId="77777777" w:rsidR="00F147B0" w:rsidRDefault="00000000">
      <w:pPr>
        <w:numPr>
          <w:ilvl w:val="0"/>
          <w:numId w:val="10"/>
        </w:numPr>
        <w:spacing w:after="210" w:line="360" w:lineRule="auto"/>
      </w:pPr>
      <w:r>
        <w:fldChar w:fldCharType="begin"/>
      </w:r>
      <w:r>
        <w:instrText>HYPERLINK "https://pepvi.net/peptides/cjc-1295" \h</w:instrText>
      </w:r>
      <w:r>
        <w:fldChar w:fldCharType="separate"/>
      </w:r>
      <w:r>
        <w:rPr>
          <w:rFonts w:ascii="Helvetica Neue" w:eastAsia="Helvetica Neue" w:hAnsi="Helvetica Neue" w:cs="Helvetica Neue"/>
          <w:sz w:val="18"/>
          <w:u w:val="single"/>
        </w:rPr>
        <w:t>https://pepvi.net/peptides/cjc-1295</w:t>
      </w:r>
      <w:r>
        <w:fldChar w:fldCharType="end"/>
      </w:r>
      <w:r>
        <w:rPr>
          <w:rFonts w:eastAsia="Georgia" w:hAnsi="Georgia" w:cs="Georgia"/>
          <w:color w:val="000000"/>
          <w:sz w:val="18"/>
        </w:rPr>
        <w:t xml:space="preserve"> </w:t>
      </w:r>
    </w:p>
    <w:bookmarkStart w:id="75" w:name="fn13"/>
    <w:bookmarkEnd w:id="75"/>
    <w:p w14:paraId="5AAD2799" w14:textId="77777777" w:rsidR="00F147B0" w:rsidRDefault="00000000">
      <w:pPr>
        <w:numPr>
          <w:ilvl w:val="0"/>
          <w:numId w:val="10"/>
        </w:numPr>
        <w:spacing w:after="210" w:line="360" w:lineRule="auto"/>
      </w:pPr>
      <w:r>
        <w:fldChar w:fldCharType="begin"/>
      </w:r>
      <w:r>
        <w:instrText>HYPERLINK "https://revolutionhealth.org/blogs/news/cjc-1295-with-dac-vs-without-dac" \h</w:instrText>
      </w:r>
      <w:r>
        <w:fldChar w:fldCharType="separate"/>
      </w:r>
      <w:r>
        <w:rPr>
          <w:rFonts w:ascii="Helvetica Neue" w:eastAsia="Helvetica Neue" w:hAnsi="Helvetica Neue" w:cs="Helvetica Neue"/>
          <w:sz w:val="18"/>
          <w:u w:val="single"/>
        </w:rPr>
        <w:t>https://revolutionhealth.org/blogs/news/cjc-1295-with-dac-vs-without-dac</w:t>
      </w:r>
      <w:r>
        <w:fldChar w:fldCharType="end"/>
      </w:r>
      <w:r>
        <w:rPr>
          <w:rFonts w:eastAsia="Georgia" w:hAnsi="Georgia" w:cs="Georgia"/>
          <w:color w:val="000000"/>
          <w:sz w:val="18"/>
        </w:rPr>
        <w:t xml:space="preserve"> </w:t>
      </w:r>
    </w:p>
    <w:bookmarkStart w:id="76" w:name="fn14"/>
    <w:bookmarkEnd w:id="76"/>
    <w:p w14:paraId="3FD508AD" w14:textId="77777777" w:rsidR="00F147B0" w:rsidRDefault="00000000">
      <w:pPr>
        <w:numPr>
          <w:ilvl w:val="0"/>
          <w:numId w:val="10"/>
        </w:numPr>
        <w:spacing w:after="210" w:line="360" w:lineRule="auto"/>
      </w:pPr>
      <w:r>
        <w:fldChar w:fldCharType="begin"/>
      </w:r>
      <w:r>
        <w:instrText>HYPERLINK "https://www.paragonsportsmedicine.com/peptides/cjc-1295" \h</w:instrText>
      </w:r>
      <w:r>
        <w:fldChar w:fldCharType="separate"/>
      </w:r>
      <w:r>
        <w:rPr>
          <w:rFonts w:ascii="Helvetica Neue" w:eastAsia="Helvetica Neue" w:hAnsi="Helvetica Neue" w:cs="Helvetica Neue"/>
          <w:sz w:val="18"/>
          <w:u w:val="single"/>
        </w:rPr>
        <w:t>https://www.paragonsportsmedicine.com/peptides/cjc-1295</w:t>
      </w:r>
      <w:r>
        <w:fldChar w:fldCharType="end"/>
      </w:r>
      <w:r>
        <w:rPr>
          <w:rFonts w:eastAsia="Georgia" w:hAnsi="Georgia" w:cs="Georgia"/>
          <w:color w:val="000000"/>
          <w:sz w:val="18"/>
        </w:rPr>
        <w:t xml:space="preserve"> </w:t>
      </w:r>
    </w:p>
    <w:bookmarkStart w:id="77" w:name="fn15"/>
    <w:bookmarkEnd w:id="77"/>
    <w:p w14:paraId="6ABAA47F" w14:textId="77777777" w:rsidR="00F147B0" w:rsidRDefault="00000000">
      <w:pPr>
        <w:numPr>
          <w:ilvl w:val="0"/>
          <w:numId w:val="10"/>
        </w:numPr>
        <w:spacing w:after="210" w:line="360" w:lineRule="auto"/>
      </w:pPr>
      <w:r>
        <w:fldChar w:fldCharType="begin"/>
      </w:r>
      <w:r>
        <w:instrText>HYPERLINK "https://yuniquemedical.com/cjc-1295/" \h</w:instrText>
      </w:r>
      <w:r>
        <w:fldChar w:fldCharType="separate"/>
      </w:r>
      <w:r>
        <w:rPr>
          <w:rFonts w:ascii="Helvetica Neue" w:eastAsia="Helvetica Neue" w:hAnsi="Helvetica Neue" w:cs="Helvetica Neue"/>
          <w:sz w:val="18"/>
          <w:u w:val="single"/>
        </w:rPr>
        <w:t>https://yuniquemedical.com/cjc-1295/</w:t>
      </w:r>
      <w:r>
        <w:fldChar w:fldCharType="end"/>
      </w:r>
      <w:r>
        <w:rPr>
          <w:rFonts w:eastAsia="Georgia" w:hAnsi="Georgia" w:cs="Georgia"/>
          <w:color w:val="000000"/>
          <w:sz w:val="18"/>
        </w:rPr>
        <w:t xml:space="preserve"> </w:t>
      </w:r>
    </w:p>
    <w:bookmarkStart w:id="78" w:name="fn16"/>
    <w:bookmarkEnd w:id="78"/>
    <w:p w14:paraId="15457933" w14:textId="77777777" w:rsidR="00F147B0" w:rsidRDefault="00000000">
      <w:pPr>
        <w:numPr>
          <w:ilvl w:val="0"/>
          <w:numId w:val="10"/>
        </w:numPr>
        <w:spacing w:after="210" w:line="360" w:lineRule="auto"/>
      </w:pPr>
      <w:r>
        <w:fldChar w:fldCharType="begin"/>
      </w:r>
      <w:r>
        <w:instrText>HYPERLINK "https://luminpeptides.com/wp-content/uploads/2025/11/Widely_Researched_Peptide_Dosing_Protocols_1.pdf" \h</w:instrText>
      </w:r>
      <w:r>
        <w:fldChar w:fldCharType="separate"/>
      </w:r>
      <w:r>
        <w:rPr>
          <w:rFonts w:ascii="Helvetica Neue" w:eastAsia="Helvetica Neue" w:hAnsi="Helvetica Neue" w:cs="Helvetica Neue"/>
          <w:sz w:val="18"/>
          <w:u w:val="single"/>
        </w:rPr>
        <w:t>https://luminpeptides.com/wp-content/uploads/2025/11/Widely_Researched_Peptide_Dosing_Protocols_1.pdf</w:t>
      </w:r>
      <w:r>
        <w:fldChar w:fldCharType="end"/>
      </w:r>
      <w:r>
        <w:rPr>
          <w:rFonts w:eastAsia="Georgia" w:hAnsi="Georgia" w:cs="Georgia"/>
          <w:color w:val="000000"/>
          <w:sz w:val="18"/>
        </w:rPr>
        <w:t xml:space="preserve"> </w:t>
      </w:r>
    </w:p>
    <w:sectPr w:rsidR="00F147B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F347C"/>
    <w:multiLevelType w:val="hybridMultilevel"/>
    <w:tmpl w:val="7C9AB196"/>
    <w:lvl w:ilvl="0" w:tplc="42A66C40">
      <w:start w:val="1"/>
      <w:numFmt w:val="decimal"/>
      <w:lvlText w:val="%1."/>
      <w:lvlJc w:val="left"/>
      <w:pPr>
        <w:tabs>
          <w:tab w:val="num" w:pos="900"/>
        </w:tabs>
        <w:ind w:left="540" w:hanging="360"/>
      </w:pPr>
    </w:lvl>
    <w:lvl w:ilvl="1" w:tplc="6742D77E">
      <w:start w:val="1"/>
      <w:numFmt w:val="bullet"/>
      <w:lvlText w:val="o"/>
      <w:lvlJc w:val="left"/>
      <w:pPr>
        <w:tabs>
          <w:tab w:val="num" w:pos="1440"/>
        </w:tabs>
        <w:ind w:left="1080" w:hanging="360"/>
      </w:pPr>
      <w:rPr>
        <w:rFonts w:ascii="Courier New" w:hAnsi="Courier New" w:cs="Courier New" w:hint="default"/>
      </w:rPr>
    </w:lvl>
    <w:lvl w:ilvl="2" w:tplc="BC965228">
      <w:numFmt w:val="decimal"/>
      <w:lvlText w:val=""/>
      <w:lvlJc w:val="left"/>
    </w:lvl>
    <w:lvl w:ilvl="3" w:tplc="3D74025E">
      <w:numFmt w:val="decimal"/>
      <w:lvlText w:val=""/>
      <w:lvlJc w:val="left"/>
    </w:lvl>
    <w:lvl w:ilvl="4" w:tplc="43324C14">
      <w:numFmt w:val="decimal"/>
      <w:lvlText w:val=""/>
      <w:lvlJc w:val="left"/>
    </w:lvl>
    <w:lvl w:ilvl="5" w:tplc="0E0080C6">
      <w:numFmt w:val="decimal"/>
      <w:lvlText w:val=""/>
      <w:lvlJc w:val="left"/>
    </w:lvl>
    <w:lvl w:ilvl="6" w:tplc="BB7620EC">
      <w:numFmt w:val="decimal"/>
      <w:lvlText w:val=""/>
      <w:lvlJc w:val="left"/>
    </w:lvl>
    <w:lvl w:ilvl="7" w:tplc="751899EC">
      <w:numFmt w:val="decimal"/>
      <w:lvlText w:val=""/>
      <w:lvlJc w:val="left"/>
    </w:lvl>
    <w:lvl w:ilvl="8" w:tplc="5F12B4B0">
      <w:numFmt w:val="decimal"/>
      <w:lvlText w:val=""/>
      <w:lvlJc w:val="left"/>
    </w:lvl>
  </w:abstractNum>
  <w:abstractNum w:abstractNumId="1" w15:restartNumberingAfterBreak="0">
    <w:nsid w:val="2365046D"/>
    <w:multiLevelType w:val="hybridMultilevel"/>
    <w:tmpl w:val="0BBA3AD2"/>
    <w:lvl w:ilvl="0" w:tplc="E61694C8">
      <w:start w:val="1"/>
      <w:numFmt w:val="bullet"/>
      <w:lvlText w:val=""/>
      <w:lvlJc w:val="left"/>
      <w:pPr>
        <w:tabs>
          <w:tab w:val="num" w:pos="900"/>
        </w:tabs>
        <w:ind w:left="540" w:hanging="360"/>
      </w:pPr>
      <w:rPr>
        <w:rFonts w:ascii="Symbol" w:hAnsi="Symbol" w:hint="default"/>
      </w:rPr>
    </w:lvl>
    <w:lvl w:ilvl="1" w:tplc="58727EAC">
      <w:start w:val="1"/>
      <w:numFmt w:val="bullet"/>
      <w:lvlText w:val="o"/>
      <w:lvlJc w:val="left"/>
      <w:pPr>
        <w:tabs>
          <w:tab w:val="num" w:pos="1440"/>
        </w:tabs>
        <w:ind w:left="1080" w:hanging="360"/>
      </w:pPr>
      <w:rPr>
        <w:rFonts w:ascii="Courier New" w:hAnsi="Courier New" w:cs="Courier New" w:hint="default"/>
      </w:rPr>
    </w:lvl>
    <w:lvl w:ilvl="2" w:tplc="0D8AC896">
      <w:numFmt w:val="decimal"/>
      <w:lvlText w:val=""/>
      <w:lvlJc w:val="left"/>
    </w:lvl>
    <w:lvl w:ilvl="3" w:tplc="C6F2C4A2">
      <w:numFmt w:val="decimal"/>
      <w:lvlText w:val=""/>
      <w:lvlJc w:val="left"/>
    </w:lvl>
    <w:lvl w:ilvl="4" w:tplc="2B5A7CC0">
      <w:numFmt w:val="decimal"/>
      <w:lvlText w:val=""/>
      <w:lvlJc w:val="left"/>
    </w:lvl>
    <w:lvl w:ilvl="5" w:tplc="52E0B9F8">
      <w:numFmt w:val="decimal"/>
      <w:lvlText w:val=""/>
      <w:lvlJc w:val="left"/>
    </w:lvl>
    <w:lvl w:ilvl="6" w:tplc="F2B243BA">
      <w:numFmt w:val="decimal"/>
      <w:lvlText w:val=""/>
      <w:lvlJc w:val="left"/>
    </w:lvl>
    <w:lvl w:ilvl="7" w:tplc="CAA0FD2C">
      <w:numFmt w:val="decimal"/>
      <w:lvlText w:val=""/>
      <w:lvlJc w:val="left"/>
    </w:lvl>
    <w:lvl w:ilvl="8" w:tplc="47E0ABDA">
      <w:numFmt w:val="decimal"/>
      <w:lvlText w:val=""/>
      <w:lvlJc w:val="left"/>
    </w:lvl>
  </w:abstractNum>
  <w:abstractNum w:abstractNumId="2" w15:restartNumberingAfterBreak="0">
    <w:nsid w:val="2F545F28"/>
    <w:multiLevelType w:val="hybridMultilevel"/>
    <w:tmpl w:val="87F660D6"/>
    <w:lvl w:ilvl="0" w:tplc="5FEE951C">
      <w:start w:val="1"/>
      <w:numFmt w:val="bullet"/>
      <w:lvlText w:val=""/>
      <w:lvlJc w:val="left"/>
      <w:pPr>
        <w:tabs>
          <w:tab w:val="num" w:pos="900"/>
        </w:tabs>
        <w:ind w:left="540" w:hanging="360"/>
      </w:pPr>
      <w:rPr>
        <w:rFonts w:ascii="Symbol" w:hAnsi="Symbol" w:hint="default"/>
      </w:rPr>
    </w:lvl>
    <w:lvl w:ilvl="1" w:tplc="EF228F78">
      <w:numFmt w:val="decimal"/>
      <w:lvlText w:val=""/>
      <w:lvlJc w:val="left"/>
    </w:lvl>
    <w:lvl w:ilvl="2" w:tplc="79ECF0CA">
      <w:numFmt w:val="decimal"/>
      <w:lvlText w:val=""/>
      <w:lvlJc w:val="left"/>
    </w:lvl>
    <w:lvl w:ilvl="3" w:tplc="163A1E2A">
      <w:numFmt w:val="decimal"/>
      <w:lvlText w:val=""/>
      <w:lvlJc w:val="left"/>
    </w:lvl>
    <w:lvl w:ilvl="4" w:tplc="A544BE2A">
      <w:numFmt w:val="decimal"/>
      <w:lvlText w:val=""/>
      <w:lvlJc w:val="left"/>
    </w:lvl>
    <w:lvl w:ilvl="5" w:tplc="F2A076FC">
      <w:numFmt w:val="decimal"/>
      <w:lvlText w:val=""/>
      <w:lvlJc w:val="left"/>
    </w:lvl>
    <w:lvl w:ilvl="6" w:tplc="366E758A">
      <w:numFmt w:val="decimal"/>
      <w:lvlText w:val=""/>
      <w:lvlJc w:val="left"/>
    </w:lvl>
    <w:lvl w:ilvl="7" w:tplc="C4B4E906">
      <w:numFmt w:val="decimal"/>
      <w:lvlText w:val=""/>
      <w:lvlJc w:val="left"/>
    </w:lvl>
    <w:lvl w:ilvl="8" w:tplc="09DE0442">
      <w:numFmt w:val="decimal"/>
      <w:lvlText w:val=""/>
      <w:lvlJc w:val="left"/>
    </w:lvl>
  </w:abstractNum>
  <w:abstractNum w:abstractNumId="3" w15:restartNumberingAfterBreak="0">
    <w:nsid w:val="49AB6BC5"/>
    <w:multiLevelType w:val="hybridMultilevel"/>
    <w:tmpl w:val="7CCAC720"/>
    <w:lvl w:ilvl="0" w:tplc="CFF6A2BC">
      <w:start w:val="1"/>
      <w:numFmt w:val="decimal"/>
      <w:lvlText w:val="%1."/>
      <w:lvlJc w:val="left"/>
      <w:pPr>
        <w:tabs>
          <w:tab w:val="num" w:pos="900"/>
        </w:tabs>
        <w:ind w:left="540" w:hanging="360"/>
      </w:pPr>
    </w:lvl>
    <w:lvl w:ilvl="1" w:tplc="A740E7EC">
      <w:numFmt w:val="decimal"/>
      <w:lvlText w:val=""/>
      <w:lvlJc w:val="left"/>
    </w:lvl>
    <w:lvl w:ilvl="2" w:tplc="F4FA9EDE">
      <w:numFmt w:val="decimal"/>
      <w:lvlText w:val=""/>
      <w:lvlJc w:val="left"/>
    </w:lvl>
    <w:lvl w:ilvl="3" w:tplc="2C38EF70">
      <w:numFmt w:val="decimal"/>
      <w:lvlText w:val=""/>
      <w:lvlJc w:val="left"/>
    </w:lvl>
    <w:lvl w:ilvl="4" w:tplc="4490BF1A">
      <w:numFmt w:val="decimal"/>
      <w:lvlText w:val=""/>
      <w:lvlJc w:val="left"/>
    </w:lvl>
    <w:lvl w:ilvl="5" w:tplc="E318AE20">
      <w:numFmt w:val="decimal"/>
      <w:lvlText w:val=""/>
      <w:lvlJc w:val="left"/>
    </w:lvl>
    <w:lvl w:ilvl="6" w:tplc="B1103ED8">
      <w:numFmt w:val="decimal"/>
      <w:lvlText w:val=""/>
      <w:lvlJc w:val="left"/>
    </w:lvl>
    <w:lvl w:ilvl="7" w:tplc="53D6CCFA">
      <w:numFmt w:val="decimal"/>
      <w:lvlText w:val=""/>
      <w:lvlJc w:val="left"/>
    </w:lvl>
    <w:lvl w:ilvl="8" w:tplc="24F2D310">
      <w:numFmt w:val="decimal"/>
      <w:lvlText w:val=""/>
      <w:lvlJc w:val="left"/>
    </w:lvl>
  </w:abstractNum>
  <w:abstractNum w:abstractNumId="4" w15:restartNumberingAfterBreak="0">
    <w:nsid w:val="661454B9"/>
    <w:multiLevelType w:val="hybridMultilevel"/>
    <w:tmpl w:val="1A360C14"/>
    <w:lvl w:ilvl="0" w:tplc="D6BEF720">
      <w:start w:val="1"/>
      <w:numFmt w:val="bullet"/>
      <w:lvlText w:val=""/>
      <w:lvlJc w:val="left"/>
      <w:pPr>
        <w:tabs>
          <w:tab w:val="num" w:pos="900"/>
        </w:tabs>
        <w:ind w:left="540" w:hanging="360"/>
      </w:pPr>
      <w:rPr>
        <w:rFonts w:ascii="Symbol" w:hAnsi="Symbol" w:hint="default"/>
      </w:rPr>
    </w:lvl>
    <w:lvl w:ilvl="1" w:tplc="29AABF82">
      <w:numFmt w:val="decimal"/>
      <w:lvlText w:val=""/>
      <w:lvlJc w:val="left"/>
    </w:lvl>
    <w:lvl w:ilvl="2" w:tplc="577477DA">
      <w:numFmt w:val="decimal"/>
      <w:lvlText w:val=""/>
      <w:lvlJc w:val="left"/>
    </w:lvl>
    <w:lvl w:ilvl="3" w:tplc="649C3AF6">
      <w:numFmt w:val="decimal"/>
      <w:lvlText w:val=""/>
      <w:lvlJc w:val="left"/>
    </w:lvl>
    <w:lvl w:ilvl="4" w:tplc="41F4A56A">
      <w:numFmt w:val="decimal"/>
      <w:lvlText w:val=""/>
      <w:lvlJc w:val="left"/>
    </w:lvl>
    <w:lvl w:ilvl="5" w:tplc="6BECBA88">
      <w:numFmt w:val="decimal"/>
      <w:lvlText w:val=""/>
      <w:lvlJc w:val="left"/>
    </w:lvl>
    <w:lvl w:ilvl="6" w:tplc="7262772A">
      <w:numFmt w:val="decimal"/>
      <w:lvlText w:val=""/>
      <w:lvlJc w:val="left"/>
    </w:lvl>
    <w:lvl w:ilvl="7" w:tplc="1D78C830">
      <w:numFmt w:val="decimal"/>
      <w:lvlText w:val=""/>
      <w:lvlJc w:val="left"/>
    </w:lvl>
    <w:lvl w:ilvl="8" w:tplc="876806A2">
      <w:numFmt w:val="decimal"/>
      <w:lvlText w:val=""/>
      <w:lvlJc w:val="left"/>
    </w:lvl>
  </w:abstractNum>
  <w:abstractNum w:abstractNumId="5" w15:restartNumberingAfterBreak="0">
    <w:nsid w:val="69495208"/>
    <w:multiLevelType w:val="hybridMultilevel"/>
    <w:tmpl w:val="6B3E91AA"/>
    <w:lvl w:ilvl="0" w:tplc="B55C3CF4">
      <w:start w:val="1"/>
      <w:numFmt w:val="bullet"/>
      <w:lvlText w:val=""/>
      <w:lvlJc w:val="left"/>
      <w:pPr>
        <w:tabs>
          <w:tab w:val="num" w:pos="900"/>
        </w:tabs>
        <w:ind w:left="540" w:hanging="360"/>
      </w:pPr>
      <w:rPr>
        <w:rFonts w:ascii="Symbol" w:hAnsi="Symbol" w:hint="default"/>
      </w:rPr>
    </w:lvl>
    <w:lvl w:ilvl="1" w:tplc="AEA68A5C">
      <w:numFmt w:val="decimal"/>
      <w:lvlText w:val=""/>
      <w:lvlJc w:val="left"/>
    </w:lvl>
    <w:lvl w:ilvl="2" w:tplc="883CCE7C">
      <w:numFmt w:val="decimal"/>
      <w:lvlText w:val=""/>
      <w:lvlJc w:val="left"/>
    </w:lvl>
    <w:lvl w:ilvl="3" w:tplc="E9365FD0">
      <w:numFmt w:val="decimal"/>
      <w:lvlText w:val=""/>
      <w:lvlJc w:val="left"/>
    </w:lvl>
    <w:lvl w:ilvl="4" w:tplc="076AA620">
      <w:numFmt w:val="decimal"/>
      <w:lvlText w:val=""/>
      <w:lvlJc w:val="left"/>
    </w:lvl>
    <w:lvl w:ilvl="5" w:tplc="8F52E8C6">
      <w:numFmt w:val="decimal"/>
      <w:lvlText w:val=""/>
      <w:lvlJc w:val="left"/>
    </w:lvl>
    <w:lvl w:ilvl="6" w:tplc="A5787C46">
      <w:numFmt w:val="decimal"/>
      <w:lvlText w:val=""/>
      <w:lvlJc w:val="left"/>
    </w:lvl>
    <w:lvl w:ilvl="7" w:tplc="026E8692">
      <w:numFmt w:val="decimal"/>
      <w:lvlText w:val=""/>
      <w:lvlJc w:val="left"/>
    </w:lvl>
    <w:lvl w:ilvl="8" w:tplc="33E2ED3E">
      <w:numFmt w:val="decimal"/>
      <w:lvlText w:val=""/>
      <w:lvlJc w:val="left"/>
    </w:lvl>
  </w:abstractNum>
  <w:abstractNum w:abstractNumId="6" w15:restartNumberingAfterBreak="0">
    <w:nsid w:val="76847DE8"/>
    <w:multiLevelType w:val="hybridMultilevel"/>
    <w:tmpl w:val="F022E5CC"/>
    <w:lvl w:ilvl="0" w:tplc="75EA08B0">
      <w:start w:val="1"/>
      <w:numFmt w:val="bullet"/>
      <w:lvlText w:val=""/>
      <w:lvlJc w:val="left"/>
      <w:pPr>
        <w:tabs>
          <w:tab w:val="num" w:pos="900"/>
        </w:tabs>
        <w:ind w:left="540" w:hanging="360"/>
      </w:pPr>
      <w:rPr>
        <w:rFonts w:ascii="Symbol" w:hAnsi="Symbol" w:hint="default"/>
      </w:rPr>
    </w:lvl>
    <w:lvl w:ilvl="1" w:tplc="BD2E3FB8">
      <w:numFmt w:val="decimal"/>
      <w:lvlText w:val=""/>
      <w:lvlJc w:val="left"/>
    </w:lvl>
    <w:lvl w:ilvl="2" w:tplc="CEF2D950">
      <w:numFmt w:val="decimal"/>
      <w:lvlText w:val=""/>
      <w:lvlJc w:val="left"/>
    </w:lvl>
    <w:lvl w:ilvl="3" w:tplc="504CC470">
      <w:numFmt w:val="decimal"/>
      <w:lvlText w:val=""/>
      <w:lvlJc w:val="left"/>
    </w:lvl>
    <w:lvl w:ilvl="4" w:tplc="A7945082">
      <w:numFmt w:val="decimal"/>
      <w:lvlText w:val=""/>
      <w:lvlJc w:val="left"/>
    </w:lvl>
    <w:lvl w:ilvl="5" w:tplc="DCBA6FAA">
      <w:numFmt w:val="decimal"/>
      <w:lvlText w:val=""/>
      <w:lvlJc w:val="left"/>
    </w:lvl>
    <w:lvl w:ilvl="6" w:tplc="4B94D7BC">
      <w:numFmt w:val="decimal"/>
      <w:lvlText w:val=""/>
      <w:lvlJc w:val="left"/>
    </w:lvl>
    <w:lvl w:ilvl="7" w:tplc="E5A80D82">
      <w:numFmt w:val="decimal"/>
      <w:lvlText w:val=""/>
      <w:lvlJc w:val="left"/>
    </w:lvl>
    <w:lvl w:ilvl="8" w:tplc="A1F6E0E4">
      <w:numFmt w:val="decimal"/>
      <w:lvlText w:val=""/>
      <w:lvlJc w:val="left"/>
    </w:lvl>
  </w:abstractNum>
  <w:abstractNum w:abstractNumId="7" w15:restartNumberingAfterBreak="0">
    <w:nsid w:val="7D684DA7"/>
    <w:multiLevelType w:val="hybridMultilevel"/>
    <w:tmpl w:val="6E86A298"/>
    <w:lvl w:ilvl="0" w:tplc="29003CC8">
      <w:start w:val="1"/>
      <w:numFmt w:val="decimal"/>
      <w:lvlText w:val="%1."/>
      <w:lvlJc w:val="left"/>
      <w:pPr>
        <w:tabs>
          <w:tab w:val="num" w:pos="900"/>
        </w:tabs>
        <w:ind w:left="540" w:hanging="360"/>
      </w:pPr>
    </w:lvl>
    <w:lvl w:ilvl="1" w:tplc="39FCC5A2">
      <w:numFmt w:val="decimal"/>
      <w:lvlText w:val=""/>
      <w:lvlJc w:val="left"/>
    </w:lvl>
    <w:lvl w:ilvl="2" w:tplc="89E69E7C">
      <w:numFmt w:val="decimal"/>
      <w:lvlText w:val=""/>
      <w:lvlJc w:val="left"/>
    </w:lvl>
    <w:lvl w:ilvl="3" w:tplc="A13E2E26">
      <w:numFmt w:val="decimal"/>
      <w:lvlText w:val=""/>
      <w:lvlJc w:val="left"/>
    </w:lvl>
    <w:lvl w:ilvl="4" w:tplc="BFB284BA">
      <w:numFmt w:val="decimal"/>
      <w:lvlText w:val=""/>
      <w:lvlJc w:val="left"/>
    </w:lvl>
    <w:lvl w:ilvl="5" w:tplc="7E0634B0">
      <w:numFmt w:val="decimal"/>
      <w:lvlText w:val=""/>
      <w:lvlJc w:val="left"/>
    </w:lvl>
    <w:lvl w:ilvl="6" w:tplc="A1388EF4">
      <w:numFmt w:val="decimal"/>
      <w:lvlText w:val=""/>
      <w:lvlJc w:val="left"/>
    </w:lvl>
    <w:lvl w:ilvl="7" w:tplc="9AB80AFA">
      <w:numFmt w:val="decimal"/>
      <w:lvlText w:val=""/>
      <w:lvlJc w:val="left"/>
    </w:lvl>
    <w:lvl w:ilvl="8" w:tplc="9AFE7FC2">
      <w:numFmt w:val="decimal"/>
      <w:lvlText w:val=""/>
      <w:lvlJc w:val="left"/>
    </w:lvl>
  </w:abstractNum>
  <w:abstractNum w:abstractNumId="8" w15:restartNumberingAfterBreak="0">
    <w:nsid w:val="7F6C3387"/>
    <w:multiLevelType w:val="hybridMultilevel"/>
    <w:tmpl w:val="18CCC442"/>
    <w:lvl w:ilvl="0" w:tplc="9D007BF4">
      <w:numFmt w:val="decimal"/>
      <w:lvlText w:val=""/>
      <w:lvlJc w:val="left"/>
    </w:lvl>
    <w:lvl w:ilvl="1" w:tplc="AE7402C2">
      <w:numFmt w:val="decimal"/>
      <w:lvlText w:val=""/>
      <w:lvlJc w:val="left"/>
    </w:lvl>
    <w:lvl w:ilvl="2" w:tplc="36DAD928">
      <w:numFmt w:val="decimal"/>
      <w:lvlText w:val=""/>
      <w:lvlJc w:val="left"/>
    </w:lvl>
    <w:lvl w:ilvl="3" w:tplc="5306A1EA">
      <w:numFmt w:val="decimal"/>
      <w:lvlText w:val=""/>
      <w:lvlJc w:val="left"/>
    </w:lvl>
    <w:lvl w:ilvl="4" w:tplc="3AC87760">
      <w:numFmt w:val="decimal"/>
      <w:lvlText w:val=""/>
      <w:lvlJc w:val="left"/>
    </w:lvl>
    <w:lvl w:ilvl="5" w:tplc="1848C33A">
      <w:numFmt w:val="decimal"/>
      <w:lvlText w:val=""/>
      <w:lvlJc w:val="left"/>
    </w:lvl>
    <w:lvl w:ilvl="6" w:tplc="13A29546">
      <w:numFmt w:val="decimal"/>
      <w:lvlText w:val=""/>
      <w:lvlJc w:val="left"/>
    </w:lvl>
    <w:lvl w:ilvl="7" w:tplc="0B6EBE0E">
      <w:numFmt w:val="decimal"/>
      <w:lvlText w:val=""/>
      <w:lvlJc w:val="left"/>
    </w:lvl>
    <w:lvl w:ilvl="8" w:tplc="BEC6672C">
      <w:numFmt w:val="decimal"/>
      <w:lvlText w:val=""/>
      <w:lvlJc w:val="left"/>
    </w:lvl>
  </w:abstractNum>
  <w:abstractNum w:abstractNumId="9" w15:restartNumberingAfterBreak="0">
    <w:nsid w:val="7F703BDB"/>
    <w:multiLevelType w:val="hybridMultilevel"/>
    <w:tmpl w:val="1C80AD6C"/>
    <w:lvl w:ilvl="0" w:tplc="976A432E">
      <w:start w:val="1"/>
      <w:numFmt w:val="bullet"/>
      <w:lvlText w:val=""/>
      <w:lvlJc w:val="left"/>
      <w:pPr>
        <w:tabs>
          <w:tab w:val="num" w:pos="900"/>
        </w:tabs>
        <w:ind w:left="540" w:hanging="360"/>
      </w:pPr>
      <w:rPr>
        <w:rFonts w:ascii="Symbol" w:hAnsi="Symbol" w:hint="default"/>
      </w:rPr>
    </w:lvl>
    <w:lvl w:ilvl="1" w:tplc="AD344496">
      <w:numFmt w:val="decimal"/>
      <w:lvlText w:val=""/>
      <w:lvlJc w:val="left"/>
    </w:lvl>
    <w:lvl w:ilvl="2" w:tplc="9A2E5D8A">
      <w:numFmt w:val="decimal"/>
      <w:lvlText w:val=""/>
      <w:lvlJc w:val="left"/>
    </w:lvl>
    <w:lvl w:ilvl="3" w:tplc="CF5ECCC2">
      <w:numFmt w:val="decimal"/>
      <w:lvlText w:val=""/>
      <w:lvlJc w:val="left"/>
    </w:lvl>
    <w:lvl w:ilvl="4" w:tplc="B0F64A0C">
      <w:numFmt w:val="decimal"/>
      <w:lvlText w:val=""/>
      <w:lvlJc w:val="left"/>
    </w:lvl>
    <w:lvl w:ilvl="5" w:tplc="1B9CBA94">
      <w:numFmt w:val="decimal"/>
      <w:lvlText w:val=""/>
      <w:lvlJc w:val="left"/>
    </w:lvl>
    <w:lvl w:ilvl="6" w:tplc="61961E58">
      <w:numFmt w:val="decimal"/>
      <w:lvlText w:val=""/>
      <w:lvlJc w:val="left"/>
    </w:lvl>
    <w:lvl w:ilvl="7" w:tplc="850C9FD0">
      <w:numFmt w:val="decimal"/>
      <w:lvlText w:val=""/>
      <w:lvlJc w:val="left"/>
    </w:lvl>
    <w:lvl w:ilvl="8" w:tplc="819826A8">
      <w:numFmt w:val="decimal"/>
      <w:lvlText w:val=""/>
      <w:lvlJc w:val="left"/>
    </w:lvl>
  </w:abstractNum>
  <w:num w:numId="1" w16cid:durableId="70780852">
    <w:abstractNumId w:val="3"/>
  </w:num>
  <w:num w:numId="2" w16cid:durableId="95752843">
    <w:abstractNumId w:val="9"/>
  </w:num>
  <w:num w:numId="3" w16cid:durableId="670257249">
    <w:abstractNumId w:val="0"/>
  </w:num>
  <w:num w:numId="4" w16cid:durableId="1499225799">
    <w:abstractNumId w:val="4"/>
  </w:num>
  <w:num w:numId="5" w16cid:durableId="594167223">
    <w:abstractNumId w:val="2"/>
  </w:num>
  <w:num w:numId="6" w16cid:durableId="1368992086">
    <w:abstractNumId w:val="6"/>
  </w:num>
  <w:num w:numId="7" w16cid:durableId="1577131910">
    <w:abstractNumId w:val="1"/>
  </w:num>
  <w:num w:numId="8" w16cid:durableId="365788259">
    <w:abstractNumId w:val="5"/>
  </w:num>
  <w:num w:numId="9" w16cid:durableId="2033994624">
    <w:abstractNumId w:val="8"/>
  </w:num>
  <w:num w:numId="10" w16cid:durableId="53087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7B0"/>
    <w:rsid w:val="00056BF2"/>
    <w:rsid w:val="004543C4"/>
    <w:rsid w:val="006F71E1"/>
    <w:rsid w:val="00E45B75"/>
    <w:rsid w:val="00F147B0"/>
    <w:rsid w:val="00F454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4BCB7F9"/>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056BF2"/>
    <w:rPr>
      <w:color w:val="467886" w:themeColor="hyperlink"/>
      <w:u w:val="single"/>
    </w:rPr>
  </w:style>
  <w:style w:type="character" w:styleId="UnresolvedMention">
    <w:name w:val="Unresolved Mention"/>
    <w:basedOn w:val="DefaultParagraphFont"/>
    <w:uiPriority w:val="99"/>
    <w:semiHidden/>
    <w:unhideWhenUsed/>
    <w:rsid w:val="00056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ionpeptides.org/where-is-the-best-place-to-inject-cjc-1295-no-dac/" TargetMode="External"/><Relationship Id="rId13" Type="http://schemas.openxmlformats.org/officeDocument/2006/relationships/hyperlink" Target="https://orionpeptides.org/where-is-the-best-place-to-inject-cjc-1295-no-dac/" TargetMode="External"/><Relationship Id="rId18" Type="http://schemas.openxmlformats.org/officeDocument/2006/relationships/hyperlink" Target="https://pubmed.ncbi.nlm.nih.gov/1682296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rionpeptides.org/where-is-the-best-place-to-inject-cjc-1295-no-dac/" TargetMode="External"/><Relationship Id="rId12" Type="http://schemas.openxmlformats.org/officeDocument/2006/relationships/hyperlink" Target="https://orionpeptides.org/where-is-the-best-place-to-inject-cjc-1295-no-dac/" TargetMode="External"/><Relationship Id="rId17" Type="http://schemas.openxmlformats.org/officeDocument/2006/relationships/hyperlink" Target="https://pubmed.ncbi.nlm.nih.gov/17018654/" TargetMode="External"/><Relationship Id="rId2" Type="http://schemas.openxmlformats.org/officeDocument/2006/relationships/styles" Target="styles.xml"/><Relationship Id="rId16" Type="http://schemas.openxmlformats.org/officeDocument/2006/relationships/hyperlink" Target="https://pubmed.ncbi.nlm.nih.gov/16352683/" TargetMode="External"/><Relationship Id="rId20" Type="http://schemas.openxmlformats.org/officeDocument/2006/relationships/hyperlink" Target="https://recessrx.com/cjc-1295" TargetMode="External"/><Relationship Id="rId1" Type="http://schemas.openxmlformats.org/officeDocument/2006/relationships/numbering" Target="numbering.xml"/><Relationship Id="rId6" Type="http://schemas.openxmlformats.org/officeDocument/2006/relationships/hyperlink" Target="https://orionpeptides.org/product/cjc-1295-no-dac-5-mg/" TargetMode="External"/><Relationship Id="rId11" Type="http://schemas.openxmlformats.org/officeDocument/2006/relationships/hyperlink" Target="https://orionpeptides.org/where-is-the-best-place-to-inject-cjc-1295-no-dac/" TargetMode="External"/><Relationship Id="rId5" Type="http://schemas.openxmlformats.org/officeDocument/2006/relationships/hyperlink" Target="https://orionpeptides.org/where-is-the-best-place-to-inject-cjc-1295-no-dac/" TargetMode="External"/><Relationship Id="rId15" Type="http://schemas.openxmlformats.org/officeDocument/2006/relationships/hyperlink" Target="https://orionpeptides.org/where-is-the-best-place-to-inject-cjc-1295-no-dac/" TargetMode="External"/><Relationship Id="rId10" Type="http://schemas.openxmlformats.org/officeDocument/2006/relationships/hyperlink" Target="https://orionpeptides.org/where-is-the-best-place-to-inject-cjc-1295-no-dac/" TargetMode="External"/><Relationship Id="rId19" Type="http://schemas.openxmlformats.org/officeDocument/2006/relationships/hyperlink" Target="https://peptidedosages.com/dosages/" TargetMode="External"/><Relationship Id="rId4" Type="http://schemas.openxmlformats.org/officeDocument/2006/relationships/webSettings" Target="webSettings.xml"/><Relationship Id="rId9" Type="http://schemas.openxmlformats.org/officeDocument/2006/relationships/hyperlink" Target="https://orionpeptides.org/where-is-the-best-place-to-inject-cjc-1295-no-dac/" TargetMode="External"/><Relationship Id="rId14" Type="http://schemas.openxmlformats.org/officeDocument/2006/relationships/hyperlink" Target="https://orionpeptides.org/where-is-the-best-place-to-inject-cjc-1295-no-da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3008</Words>
  <Characters>17146</Characters>
  <Application>Microsoft Office Word</Application>
  <DocSecurity>0</DocSecurity>
  <Lines>142</Lines>
  <Paragraphs>40</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3</cp:revision>
  <dcterms:created xsi:type="dcterms:W3CDTF">2026-05-04T08:27:00Z</dcterms:created>
  <dcterms:modified xsi:type="dcterms:W3CDTF">2026-05-04T08:28:00Z</dcterms:modified>
</cp:coreProperties>
</file>