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F6CE" w14:textId="77777777" w:rsidR="00992F4E" w:rsidRDefault="00992F4E" w:rsidP="00992F4E">
      <w:r>
        <w:t xml:space="preserve">Reference link :   Blog Post for website </w:t>
      </w:r>
    </w:p>
    <w:p w14:paraId="5BC90FEE" w14:textId="77777777" w:rsidR="00992F4E" w:rsidRDefault="00992F4E" w:rsidP="00992F4E">
      <w:hyperlink r:id="rId5" w:history="1">
        <w:r w:rsidRPr="008D47A0">
          <w:rPr>
            <w:rStyle w:val="Hyperlink"/>
          </w:rPr>
          <w:t>https://orionpeptides.org/what-is-mots-c-mitochondrial-peptides/</w:t>
        </w:r>
      </w:hyperlink>
    </w:p>
    <w:p w14:paraId="4B750829" w14:textId="77777777" w:rsidR="00992F4E" w:rsidRDefault="00992F4E" w:rsidP="00992F4E"/>
    <w:p w14:paraId="63C6D98B" w14:textId="77777777" w:rsidR="00992F4E" w:rsidRDefault="00992F4E" w:rsidP="00992F4E">
      <w:r>
        <w:t xml:space="preserve">Content rewritten </w:t>
      </w:r>
    </w:p>
    <w:p w14:paraId="49F3C1C2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27F023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5D0CEA" w14:textId="77777777" w:rsidR="009F16CB" w:rsidRDefault="00000000">
      <w:pPr>
        <w:spacing w:before="315" w:after="105" w:line="360" w:lineRule="auto"/>
        <w:ind w:left="-30"/>
      </w:pPr>
      <w:bookmarkStart w:id="0" w:name="mots_c_and_mitochondrial_peptides_cd4afb"/>
      <w:r>
        <w:rPr>
          <w:rFonts w:eastAsia="Georgia" w:hAnsi="Georgia" w:cs="Georgia"/>
          <w:b/>
          <w:color w:val="000000"/>
          <w:sz w:val="24"/>
        </w:rPr>
        <w:t>MOTS‑c and Mitochondrial Peptides: A Simple Research Guide</w:t>
      </w:r>
      <w:bookmarkEnd w:id="0"/>
    </w:p>
    <w:p w14:paraId="37C533E4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Over the last few decades, mitochondria have gone from being seen as just the “power plants” of the cell to key regulators of metabolism, aging, and stress responses.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r>
        <w:rPr>
          <w:rFonts w:eastAsia="Georgia" w:hAnsi="Georgia" w:cs="Georgia"/>
          <w:color w:val="000000"/>
        </w:rPr>
        <w:br/>
        <w:t>One of the most interesting discoveries in this space is a small peptide called MOTS‑c, which is encoded not in nuclear DNA, but in mitochondrial DNA.</w:t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4" w:name="fnref2_1"/>
      <w:bookmarkEnd w:id="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364853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This article gives an educational overview of MOTS‑c for researchers and students: what it is, where it comes from, how it works in models, and why it matters in current metabolic and aging research.</w:t>
      </w:r>
    </w:p>
    <w:p w14:paraId="6257BBEA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7DBF1D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D0E28A" w14:textId="77777777" w:rsidR="009F16CB" w:rsidRDefault="00000000">
      <w:pPr>
        <w:spacing w:before="315" w:after="105" w:line="360" w:lineRule="auto"/>
        <w:ind w:left="-30"/>
      </w:pPr>
      <w:bookmarkStart w:id="5" w:name="what_is_mots_c"/>
      <w:r>
        <w:rPr>
          <w:rFonts w:eastAsia="Georgia" w:hAnsi="Georgia" w:cs="Georgia"/>
          <w:b/>
          <w:color w:val="000000"/>
          <w:sz w:val="24"/>
        </w:rPr>
        <w:t>What is MOTS‑c?</w:t>
      </w:r>
      <w:bookmarkEnd w:id="5"/>
    </w:p>
    <w:p w14:paraId="1A8F9C81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MOTS‑c (mitochondrial open reading frame of the 12S rRNA‑c) is a short peptide made of 16 amino acids.</w:t>
      </w:r>
      <w:bookmarkStart w:id="6" w:name="fnref2_2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7" w:name="fnref3_1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r>
        <w:rPr>
          <w:rFonts w:eastAsia="Georgia" w:hAnsi="Georgia" w:cs="Georgia"/>
          <w:color w:val="000000"/>
        </w:rPr>
        <w:br/>
        <w:t>Unlike most peptides and proteins, which are encoded by nuclear genes, MOTS‑c is encoded in a small open reading frame within the mitochondrial 12S rRNA gene.</w:t>
      </w:r>
      <w:bookmarkStart w:id="8" w:name="fnref4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" w:name="fnref2_3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273C893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In humans, the amino acid sequence of MOTS‑c is MRWQEMGYIFYPRKLR, and this sequence is highly conserved across species, which suggests it plays a fundamental biological role.</w:t>
      </w:r>
      <w:bookmarkStart w:id="10" w:name="fnref3_2"/>
      <w:bookmarkEnd w:id="10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1" w:name="fnref4_1"/>
      <w:bookmarkEnd w:id="11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7EE25C5B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A4462C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FE0EA9" w14:textId="77777777" w:rsidR="009F16CB" w:rsidRDefault="00000000">
      <w:pPr>
        <w:spacing w:before="315" w:after="105" w:line="360" w:lineRule="auto"/>
        <w:ind w:left="-30"/>
      </w:pPr>
      <w:bookmarkStart w:id="12" w:name="quick_facts_about_mots_c"/>
      <w:r>
        <w:rPr>
          <w:rFonts w:eastAsia="Georgia" w:hAnsi="Georgia" w:cs="Georgia"/>
          <w:b/>
          <w:color w:val="000000"/>
          <w:sz w:val="24"/>
        </w:rPr>
        <w:t>Quick facts about MOTS‑c</w:t>
      </w:r>
      <w:bookmarkEnd w:id="12"/>
    </w:p>
    <w:p w14:paraId="4985501F" w14:textId="77777777" w:rsidR="009F16C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Origin:</w:t>
      </w:r>
      <w:r>
        <w:rPr>
          <w:rFonts w:eastAsia="Georgia" w:hAnsi="Georgia" w:cs="Georgia"/>
          <w:color w:val="000000"/>
        </w:rPr>
        <w:t xml:space="preserve"> Mitochondrial DNA (12S rRNA gene region).</w:t>
      </w:r>
      <w:bookmarkStart w:id="13" w:name="fnref2_4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4" w:name="fnref3_3"/>
      <w:bookmarkEnd w:id="1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1A5F903A" w14:textId="77777777" w:rsidR="009F16C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Length:</w:t>
      </w:r>
      <w:r>
        <w:rPr>
          <w:rFonts w:eastAsia="Georgia" w:hAnsi="Georgia" w:cs="Georgia"/>
          <w:color w:val="000000"/>
        </w:rPr>
        <w:t xml:space="preserve"> 16 amino acids.</w:t>
      </w:r>
      <w:bookmarkStart w:id="15" w:name="fnref3_4"/>
      <w:bookmarkEnd w:id="15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6" w:name="fnref2_5"/>
      <w:bookmarkEnd w:id="1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F2CC82D" w14:textId="77777777" w:rsidR="009F16C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Category:</w:t>
      </w:r>
      <w:r>
        <w:rPr>
          <w:rFonts w:eastAsia="Georgia" w:hAnsi="Georgia" w:cs="Georgia"/>
          <w:color w:val="000000"/>
        </w:rPr>
        <w:t xml:space="preserve"> Mitochondrial‑derived peptide (MDP).</w:t>
      </w:r>
      <w:bookmarkStart w:id="17" w:name="fnref4_2"/>
      <w:bookmarkEnd w:id="1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8" w:name="fnref2_6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4084EA6" w14:textId="77777777" w:rsidR="009F16C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Main research focus:</w:t>
      </w:r>
      <w:r>
        <w:rPr>
          <w:rFonts w:eastAsia="Georgia" w:hAnsi="Georgia" w:cs="Georgia"/>
          <w:color w:val="000000"/>
        </w:rPr>
        <w:t xml:space="preserve"> Metabolic regulation, exercise biology, and aging models.</w:t>
      </w:r>
      <w:bookmarkStart w:id="19" w:name="fnref5"/>
      <w:bookmarkEnd w:id="1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20" w:name="fnref6"/>
      <w:bookmarkEnd w:id="2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21" w:name="fnref2_7"/>
      <w:bookmarkEnd w:id="2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DBE0A26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What makes MOTS‑c stand out is that it links mitochondrial activity to nuclear gene expression and whole‑body metabolism, creating a “two‑way conversation” between mitochondria and the rest of the cell.</w:t>
      </w:r>
      <w:bookmarkStart w:id="22" w:name="fnref7"/>
      <w:bookmarkEnd w:id="22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3" w:name="fnref8"/>
      <w:bookmarkEnd w:id="2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24" w:name="fnref2_8"/>
      <w:bookmarkEnd w:id="2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E983775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7FF376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9473AD" w14:textId="77777777" w:rsidR="009F16CB" w:rsidRDefault="00000000">
      <w:pPr>
        <w:spacing w:before="315" w:after="105" w:line="360" w:lineRule="auto"/>
        <w:ind w:left="-30"/>
      </w:pPr>
      <w:bookmarkStart w:id="25" w:name="what_are_mitochondrial_derived_pe_b44b0a"/>
      <w:r>
        <w:rPr>
          <w:rFonts w:eastAsia="Georgia" w:hAnsi="Georgia" w:cs="Georgia"/>
          <w:b/>
          <w:color w:val="000000"/>
          <w:sz w:val="24"/>
        </w:rPr>
        <w:t>What are mitochondrial‑derived peptides (MDPs)?</w:t>
      </w:r>
      <w:bookmarkEnd w:id="25"/>
    </w:p>
    <w:p w14:paraId="2A26641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Mitochondrial‑derived peptides are small signalling molecules encoded by short open reading frames in mitochondrial DNA.</w:t>
      </w:r>
      <w:bookmarkStart w:id="26" w:name="fnref7_1"/>
      <w:bookmarkEnd w:id="26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27" w:name="fnref4_3"/>
      <w:bookmarkEnd w:id="2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r>
        <w:rPr>
          <w:rFonts w:eastAsia="Georgia" w:hAnsi="Georgia" w:cs="Georgia"/>
          <w:color w:val="000000"/>
        </w:rPr>
        <w:br/>
        <w:t>So far, at least eight MDPs have been described, including humanin, MOTS‑c, and the SHLP (small humanin‑like peptide) family.</w:t>
      </w:r>
      <w:bookmarkStart w:id="28" w:name="fnref9"/>
      <w:bookmarkEnd w:id="2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9" w:name="fnref7_2"/>
      <w:bookmarkEnd w:id="29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30" w:name="fnref4_4"/>
      <w:bookmarkEnd w:id="3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DDB1263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peptides are being studied for roles in:</w:t>
      </w:r>
    </w:p>
    <w:p w14:paraId="785D2ABD" w14:textId="77777777" w:rsidR="009F16C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Metabolic regulation.</w:t>
      </w:r>
      <w:bookmarkStart w:id="31" w:name="fnref5_1"/>
      <w:bookmarkEnd w:id="3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32" w:name="fnref4_5"/>
      <w:bookmarkEnd w:id="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293D9F81" w14:textId="77777777" w:rsidR="009F16C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Cellular protection and stress responses.</w:t>
      </w:r>
      <w:bookmarkStart w:id="33" w:name="fnref10"/>
      <w:bookmarkEnd w:id="3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34" w:name="fnref1_1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5" w:name="fnref4_6"/>
      <w:bookmarkEnd w:id="3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C1CE1AB" w14:textId="77777777" w:rsidR="009F16C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Aging and age‑related disease models.</w:t>
      </w:r>
      <w:bookmarkStart w:id="36" w:name="fnref9_1"/>
      <w:bookmarkEnd w:id="3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7" w:name="fnref4_7"/>
      <w:bookmarkEnd w:id="3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B0A33BD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MOTS‑c is one of the best‑studied MDPs and has already reached early‑stage clinical investigation in metabolic disease.</w:t>
      </w:r>
      <w:bookmarkStart w:id="38" w:name="fnref11"/>
      <w:bookmarkEnd w:id="38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39" w:name="fnref2_9"/>
      <w:bookmarkEnd w:id="3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16FB29A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BC35B5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2388BA" w14:textId="77777777" w:rsidR="009F16CB" w:rsidRDefault="00000000">
      <w:pPr>
        <w:spacing w:before="315" w:after="105" w:line="360" w:lineRule="auto"/>
        <w:ind w:left="-30"/>
      </w:pPr>
      <w:bookmarkStart w:id="40" w:name="how_does_mots_c_work_in_research_models"/>
      <w:r>
        <w:rPr>
          <w:rFonts w:eastAsia="Georgia" w:hAnsi="Georgia" w:cs="Georgia"/>
          <w:b/>
          <w:color w:val="000000"/>
          <w:sz w:val="24"/>
        </w:rPr>
        <w:t>How does MOTS‑c work in research models?</w:t>
      </w:r>
      <w:bookmarkEnd w:id="40"/>
    </w:p>
    <w:p w14:paraId="3F4105B0" w14:textId="77777777" w:rsidR="009F16CB" w:rsidRDefault="00000000">
      <w:pPr>
        <w:spacing w:before="315" w:after="105" w:line="360" w:lineRule="auto"/>
        <w:ind w:left="-30"/>
      </w:pPr>
      <w:bookmarkStart w:id="41" w:name="from_mitochondria_to_nucleus"/>
      <w:r>
        <w:rPr>
          <w:rFonts w:eastAsia="Georgia" w:hAnsi="Georgia" w:cs="Georgia"/>
          <w:b/>
          <w:color w:val="000000"/>
          <w:sz w:val="24"/>
        </w:rPr>
        <w:t>From mitochondria to nucleus</w:t>
      </w:r>
      <w:bookmarkEnd w:id="41"/>
    </w:p>
    <w:p w14:paraId="3C83FAAB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Under resting conditions, MOTS‑c is localized to mitochondria, but under metabolic stress it can move to the nucleus.</w:t>
      </w:r>
      <w:bookmarkStart w:id="42" w:name="fnref8_1"/>
      <w:bookmarkEnd w:id="42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43" w:name="fnref2_10"/>
      <w:bookmarkEnd w:id="4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r>
        <w:rPr>
          <w:rFonts w:eastAsia="Georgia" w:hAnsi="Georgia" w:cs="Georgia"/>
          <w:color w:val="000000"/>
        </w:rPr>
        <w:br/>
        <w:t>Once in the nucleus, MOTS‑c helps regulate the expression of genes linked to stress resistance and metabolic homeostasis.</w:t>
      </w:r>
      <w:bookmarkStart w:id="44" w:name="fnref12"/>
      <w:bookmarkEnd w:id="44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fldChar w:fldCharType="end"/>
      </w:r>
      <w:bookmarkStart w:id="45" w:name="fnref8_2"/>
      <w:bookmarkEnd w:id="45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2E3441C5" w14:textId="77777777" w:rsidR="009F16CB" w:rsidRDefault="00000000">
      <w:pPr>
        <w:spacing w:before="315" w:after="105" w:line="360" w:lineRule="auto"/>
        <w:ind w:left="-30"/>
      </w:pPr>
      <w:bookmarkStart w:id="46" w:name="ampk_and_energy_balance"/>
      <w:r>
        <w:rPr>
          <w:rFonts w:eastAsia="Georgia" w:hAnsi="Georgia" w:cs="Georgia"/>
          <w:b/>
          <w:color w:val="000000"/>
          <w:sz w:val="24"/>
        </w:rPr>
        <w:t>AMPK and energy balance</w:t>
      </w:r>
      <w:bookmarkEnd w:id="46"/>
    </w:p>
    <w:p w14:paraId="25CBFFA1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Many studies report that MOTS‑c activates AMP‑activated protein kinase (AMPK), a central sensor of cellular energy status.</w:t>
      </w:r>
      <w:bookmarkStart w:id="47" w:name="fnref13"/>
      <w:bookmarkEnd w:id="47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48" w:name="fnref5_2"/>
      <w:bookmarkEnd w:id="4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49" w:name="fnref2_11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r>
        <w:rPr>
          <w:rFonts w:eastAsia="Georgia" w:hAnsi="Georgia" w:cs="Georgia"/>
          <w:color w:val="000000"/>
        </w:rPr>
        <w:br/>
        <w:t>Through AMPK‑linked pathways, MOTS‑c is associated with changes in:</w:t>
      </w:r>
    </w:p>
    <w:p w14:paraId="1E1A8DE5" w14:textId="77777777" w:rsidR="009F16C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Glucose uptake and glucose utilisation.</w:t>
      </w:r>
      <w:bookmarkStart w:id="50" w:name="fnref13_1"/>
      <w:bookmarkEnd w:id="50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51" w:name="fnref5_3"/>
      <w:bookmarkEnd w:id="5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52" w:name="fnref2_12"/>
      <w:bookmarkEnd w:id="5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BC24BD3" w14:textId="77777777" w:rsidR="009F16C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Fatty‑acid metabolism.</w:t>
      </w:r>
      <w:bookmarkStart w:id="53" w:name="fnref14"/>
      <w:bookmarkEnd w:id="5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54" w:name="fnref2_13"/>
      <w:bookmarkEnd w:id="5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7E3E259" w14:textId="77777777" w:rsidR="009F16C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Adaptation to nutrient and energy stress.</w:t>
      </w:r>
      <w:bookmarkStart w:id="55" w:name="fnref6_1"/>
      <w:bookmarkEnd w:id="5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56" w:name="fnref14_1"/>
      <w:bookmarkEnd w:id="5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57" w:name="fnref2_14"/>
      <w:bookmarkEnd w:id="5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C6F648C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Because AMPK sits at the heart of energy regulation, MOTS‑c is often described as an “exercise‑like” or “exercise‑mimetic” signal in these preclinical studies.</w:t>
      </w:r>
      <w:bookmarkStart w:id="58" w:name="fnref6_2"/>
      <w:bookmarkEnd w:id="5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59" w:name="fnref13_2"/>
      <w:bookmarkEnd w:id="5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48711E22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62047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9DDEEF" w14:textId="77777777" w:rsidR="009F16CB" w:rsidRDefault="00000000">
      <w:pPr>
        <w:spacing w:before="315" w:after="105" w:line="360" w:lineRule="auto"/>
        <w:ind w:left="-30"/>
      </w:pPr>
      <w:bookmarkStart w:id="60" w:name="mots_c_in_metabolic_research"/>
      <w:r>
        <w:rPr>
          <w:rFonts w:eastAsia="Georgia" w:hAnsi="Georgia" w:cs="Georgia"/>
          <w:b/>
          <w:color w:val="000000"/>
          <w:sz w:val="24"/>
        </w:rPr>
        <w:t>MOTS‑c in metabolic research</w:t>
      </w:r>
      <w:bookmarkEnd w:id="60"/>
    </w:p>
    <w:p w14:paraId="617E55D5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MOTS‑c was first identified while screening for factors that influence cellular metabolism.</w:t>
      </w:r>
      <w:bookmarkStart w:id="61" w:name="fnref5_4"/>
      <w:bookmarkEnd w:id="6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62" w:name="fnref2_15"/>
      <w:bookmarkEnd w:id="6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r>
        <w:rPr>
          <w:rFonts w:eastAsia="Georgia" w:hAnsi="Georgia" w:cs="Georgia"/>
          <w:color w:val="000000"/>
        </w:rPr>
        <w:br/>
        <w:t>In cell and animal models, MOTS‑c has been reported to:</w:t>
      </w:r>
    </w:p>
    <w:p w14:paraId="46AFB282" w14:textId="77777777" w:rsidR="009F16C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Improve skeletal‑muscle glucose metabolism.</w:t>
      </w:r>
      <w:bookmarkStart w:id="63" w:name="fnref6_3"/>
      <w:bookmarkEnd w:id="6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64" w:name="fnref5_5"/>
      <w:bookmarkEnd w:id="6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5D5FEECE" w14:textId="77777777" w:rsidR="009F16C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Enhance insulin sensitivity and metabolic flexibility.</w:t>
      </w:r>
      <w:bookmarkStart w:id="65" w:name="fnref2_16"/>
      <w:bookmarkEnd w:id="6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6" w:name="fnref13_3"/>
      <w:bookmarkEnd w:id="6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67" w:name="fnref5_6"/>
      <w:bookmarkEnd w:id="67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44593CE9" w14:textId="77777777" w:rsidR="009F16C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Help cells adapt to metabolic stress, such as high‑fat diets or nutrient imbalance.</w:t>
      </w:r>
      <w:bookmarkStart w:id="68" w:name="fnref15"/>
      <w:bookmarkEnd w:id="68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69" w:name="fnref14_2"/>
      <w:bookmarkEnd w:id="69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70" w:name="fnref2_17"/>
      <w:bookmarkEnd w:id="7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E829BF3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findings have led to interest in MOTS‑c as a tool to study obesity, insulin resistance, and type 2 diabetes in controlled research settings.</w:t>
      </w:r>
      <w:bookmarkStart w:id="71" w:name="fnref15_1"/>
      <w:bookmarkEnd w:id="71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72" w:name="fnref5_7"/>
      <w:bookmarkEnd w:id="7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73" w:name="fnref2_18"/>
      <w:bookmarkEnd w:id="7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63A582EE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C13DC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9CD381" w14:textId="77777777" w:rsidR="009F16CB" w:rsidRDefault="00000000">
      <w:pPr>
        <w:spacing w:before="315" w:after="105" w:line="360" w:lineRule="auto"/>
        <w:ind w:left="-30"/>
      </w:pPr>
      <w:bookmarkStart w:id="74" w:name="mots_c_and_exercise_physiology"/>
      <w:r>
        <w:rPr>
          <w:rFonts w:eastAsia="Georgia" w:hAnsi="Georgia" w:cs="Georgia"/>
          <w:b/>
          <w:color w:val="000000"/>
          <w:sz w:val="24"/>
        </w:rPr>
        <w:t>MOTS‑c and exercise physiology</w:t>
      </w:r>
      <w:bookmarkEnd w:id="74"/>
    </w:p>
    <w:p w14:paraId="1E6ADD0C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One of the most striking observations is that MOTS‑c behaves like an exercise‑responsive signal in both animal and human studies.</w:t>
      </w:r>
      <w:bookmarkStart w:id="75" w:name="fnref16"/>
      <w:bookmarkEnd w:id="75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76" w:name="fnref13_4"/>
      <w:bookmarkEnd w:id="7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77" w:name="fnref6_4"/>
      <w:bookmarkEnd w:id="7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4AEDF64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Research has shown that:</w:t>
      </w:r>
    </w:p>
    <w:p w14:paraId="43BCC47D" w14:textId="77777777" w:rsidR="009F16C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MOTS‑c levels in human skeletal muscle can increase more than ten‑fold after an acute bout of exercise, and remain elevated for several hours.</w:t>
      </w:r>
      <w:bookmarkStart w:id="78" w:name="fnref6_5"/>
      <w:bookmarkEnd w:id="7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79" w:name="fnref2_19"/>
      <w:bookmarkEnd w:id="7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BCABBFD" w14:textId="77777777" w:rsidR="009F16C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 mice, MOTS‑c administration improved running capacity in young, middle‑aged, and old animals, without simply reflecting body‑weight changes.</w:t>
      </w:r>
      <w:bookmarkStart w:id="80" w:name="fnref16_1"/>
      <w:bookmarkEnd w:id="80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81" w:name="fnref6_6"/>
      <w:bookmarkEnd w:id="8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B9AA4CF" w14:textId="77777777" w:rsidR="009F16C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MOTS‑c treatment in models has been linked to better muscle metabolism and increased expression of glucose transporters such as GLUT4.</w:t>
      </w:r>
      <w:bookmarkStart w:id="82" w:name="fnref13_5"/>
      <w:bookmarkEnd w:id="8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83" w:name="fnref6_7"/>
      <w:bookmarkEnd w:id="8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6B1997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Because of these findings, MOTS‑c is often described as an “exercise‑induced mitochondrial regulator” in the scientific literature, although this is still an active field of research.</w:t>
      </w:r>
      <w:bookmarkStart w:id="84" w:name="fnref16_2"/>
      <w:bookmarkEnd w:id="84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85" w:name="fnref6_8"/>
      <w:bookmarkEnd w:id="8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659B5F7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B48CD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A673A3" w14:textId="77777777" w:rsidR="009F16CB" w:rsidRDefault="00000000">
      <w:pPr>
        <w:spacing w:before="315" w:after="105" w:line="360" w:lineRule="auto"/>
        <w:ind w:left="-30"/>
      </w:pPr>
      <w:bookmarkStart w:id="86" w:name="mots_c_and_aging_research"/>
      <w:r>
        <w:rPr>
          <w:rFonts w:eastAsia="Georgia" w:hAnsi="Georgia" w:cs="Georgia"/>
          <w:b/>
          <w:color w:val="000000"/>
          <w:sz w:val="24"/>
        </w:rPr>
        <w:lastRenderedPageBreak/>
        <w:t>MOTS‑c and aging research</w:t>
      </w:r>
      <w:bookmarkEnd w:id="86"/>
    </w:p>
    <w:p w14:paraId="1EAF02D1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Aging is closely tied to mitochondrial function and loss of metabolic homeostasis, and MOTS‑c has become a focus in this area as well.</w:t>
      </w:r>
      <w:bookmarkStart w:id="87" w:name="fnref14_3"/>
      <w:bookmarkEnd w:id="87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88" w:name="fnref9_2"/>
      <w:bookmarkEnd w:id="88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89" w:name="fnref4_8"/>
      <w:bookmarkEnd w:id="8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B0BD428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Key lines of investigation include:</w:t>
      </w:r>
    </w:p>
    <w:p w14:paraId="4FD6E044" w14:textId="77777777" w:rsidR="009F16C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Age‑related changes in MOTS‑c levels</w:t>
      </w:r>
      <w:r>
        <w:rPr>
          <w:rFonts w:eastAsia="Georgia" w:hAnsi="Georgia" w:cs="Georgia"/>
          <w:color w:val="000000"/>
        </w:rPr>
        <w:t xml:space="preserve"> – some studies suggest that circulating and tissue levels of MOTS‑c may decline with age.</w:t>
      </w:r>
      <w:bookmarkStart w:id="90" w:name="fnref4_9"/>
      <w:bookmarkEnd w:id="9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1" w:name="fnref6_9"/>
      <w:bookmarkEnd w:id="9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1667376" w14:textId="77777777" w:rsidR="009F16C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Stress resistance and cellular homeostasis</w:t>
      </w:r>
      <w:r>
        <w:rPr>
          <w:rFonts w:eastAsia="Georgia" w:hAnsi="Georgia" w:cs="Georgia"/>
          <w:color w:val="000000"/>
        </w:rPr>
        <w:t xml:space="preserve"> – MOTS‑c has been linked to improved stress responses and mitochondrial function in aging models.</w:t>
      </w:r>
      <w:bookmarkStart w:id="92" w:name="fnref14_4"/>
      <w:bookmarkEnd w:id="92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93" w:name="fnref2_20"/>
      <w:bookmarkEnd w:id="9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526838C7" w14:textId="77777777" w:rsidR="009F16C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Physical capacity and healthspan</w:t>
      </w:r>
      <w:r>
        <w:rPr>
          <w:rFonts w:eastAsia="Georgia" w:hAnsi="Georgia" w:cs="Georgia"/>
          <w:color w:val="000000"/>
        </w:rPr>
        <w:t xml:space="preserve"> – in mice, intermittent MOTS‑c treatment in later life improved physical performance and showed trends toward better healthspan metrics.</w:t>
      </w:r>
      <w:bookmarkStart w:id="94" w:name="fnref13_6"/>
      <w:bookmarkEnd w:id="94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95" w:name="fnref6_10"/>
      <w:bookmarkEnd w:id="9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3570C01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These findings do not mean MOTS‑c is an anti‑aging treatment for humans; rather, they position it as a useful experimental tool for studying how mitochondrial signals influence aging biology.</w:t>
      </w:r>
      <w:bookmarkStart w:id="96" w:name="fnref4_10"/>
      <w:bookmarkEnd w:id="9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7" w:name="fnref6_11"/>
      <w:bookmarkEnd w:id="9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98" w:name="fnref13_7"/>
      <w:bookmarkEnd w:id="9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3D743BE9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EF60D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2B204E" w14:textId="77777777" w:rsidR="009F16CB" w:rsidRDefault="00000000">
      <w:pPr>
        <w:spacing w:before="315" w:after="105" w:line="360" w:lineRule="auto"/>
        <w:ind w:left="-30"/>
      </w:pPr>
      <w:bookmarkStart w:id="99" w:name="what_does_the_current_evidence_look_like"/>
      <w:r>
        <w:rPr>
          <w:rFonts w:eastAsia="Georgia" w:hAnsi="Georgia" w:cs="Georgia"/>
          <w:b/>
          <w:color w:val="000000"/>
          <w:sz w:val="24"/>
        </w:rPr>
        <w:t>What does the current evidence look like?</w:t>
      </w:r>
      <w:bookmarkEnd w:id="99"/>
    </w:p>
    <w:p w14:paraId="24830ED4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Most of what we know about MOTS‑c comes from:</w:t>
      </w:r>
    </w:p>
    <w:p w14:paraId="52DCA139" w14:textId="77777777" w:rsidR="009F16C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Cell culture experiments.</w:t>
      </w:r>
      <w:bookmarkStart w:id="100" w:name="fnref8_3"/>
      <w:bookmarkEnd w:id="10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01" w:name="fnref2_21"/>
      <w:bookmarkEnd w:id="10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521E91C" w14:textId="77777777" w:rsidR="009F16C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Animal studies, especially mouse models.</w:t>
      </w:r>
      <w:bookmarkStart w:id="102" w:name="fnref15_2"/>
      <w:bookmarkEnd w:id="102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103" w:name="fnref2_22"/>
      <w:bookmarkEnd w:id="10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04" w:name="fnref6_12"/>
      <w:bookmarkEnd w:id="10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0F8DC78" w14:textId="77777777" w:rsidR="009F16C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Early or indirect human data (for example, exercise‑induced changes in endogenous MOTS‑c levels).</w:t>
      </w:r>
      <w:bookmarkStart w:id="105" w:name="fnref16_3"/>
      <w:bookmarkEnd w:id="105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106" w:name="fnref6_13"/>
      <w:bookmarkEnd w:id="10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07" w:name="fnref13_8"/>
      <w:bookmarkEnd w:id="107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562EC6D4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 rough evidence picture:</w:t>
      </w:r>
    </w:p>
    <w:p w14:paraId="5B8E87AF" w14:textId="77777777" w:rsidR="009F16C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Metabolic regulation:</w:t>
      </w:r>
      <w:r>
        <w:rPr>
          <w:rFonts w:eastAsia="Georgia" w:hAnsi="Georgia" w:cs="Georgia"/>
          <w:color w:val="000000"/>
        </w:rPr>
        <w:t xml:space="preserve"> Moderate preclinical support from multiple independent studies.</w:t>
      </w:r>
      <w:bookmarkStart w:id="108" w:name="fnref5_8"/>
      <w:bookmarkEnd w:id="10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09" w:name="fnref2_23"/>
      <w:bookmarkEnd w:id="10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10" w:name="fnref14_5"/>
      <w:bookmarkEnd w:id="11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</w:p>
    <w:p w14:paraId="05F82828" w14:textId="77777777" w:rsidR="009F16C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Exercise physiology:</w:t>
      </w:r>
      <w:r>
        <w:rPr>
          <w:rFonts w:eastAsia="Georgia" w:hAnsi="Georgia" w:cs="Georgia"/>
          <w:color w:val="000000"/>
        </w:rPr>
        <w:t xml:space="preserve"> Growing evidence that MOTS‑c is exercise‑responsive and can influence performance in models.</w:t>
      </w:r>
      <w:bookmarkStart w:id="111" w:name="fnref17"/>
      <w:bookmarkEnd w:id="111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fldChar w:fldCharType="end"/>
      </w:r>
      <w:bookmarkStart w:id="112" w:name="fnref16_4"/>
      <w:bookmarkEnd w:id="112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113" w:name="fnref6_14"/>
      <w:bookmarkEnd w:id="1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C29495F" w14:textId="77777777" w:rsidR="009F16C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Aging and longevity:</w:t>
      </w:r>
      <w:r>
        <w:rPr>
          <w:rFonts w:eastAsia="Georgia" w:hAnsi="Georgia" w:cs="Georgia"/>
          <w:color w:val="000000"/>
        </w:rPr>
        <w:t xml:space="preserve"> Early‑stage but promising in animal and cell models; human relevance still under investigation.</w:t>
      </w:r>
      <w:bookmarkStart w:id="114" w:name="fnref14_6"/>
      <w:bookmarkEnd w:id="114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115" w:name="fnref6_15"/>
      <w:bookmarkEnd w:id="11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16" w:name="fnref4_11"/>
      <w:bookmarkEnd w:id="11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76F075E2" w14:textId="77777777" w:rsidR="009F16C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Human clinical data:</w:t>
      </w:r>
      <w:r>
        <w:rPr>
          <w:rFonts w:eastAsia="Georgia" w:hAnsi="Georgia" w:cs="Georgia"/>
          <w:color w:val="000000"/>
        </w:rPr>
        <w:t xml:space="preserve"> Limited; some MOTS‑c‑related peptides and analogues have entered early clinical trials, but safety and efficacy are not yet established.</w:t>
      </w:r>
      <w:bookmarkStart w:id="117" w:name="fnref11_1"/>
      <w:bookmarkEnd w:id="117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18" w:name="fnref2_24"/>
      <w:bookmarkEnd w:id="1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19" w:name="fnref13_9"/>
      <w:bookmarkEnd w:id="11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01E75E09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E9584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0F275C" w14:textId="77777777" w:rsidR="009F16CB" w:rsidRDefault="00000000">
      <w:pPr>
        <w:spacing w:before="315" w:after="105" w:line="360" w:lineRule="auto"/>
        <w:ind w:left="-30"/>
      </w:pPr>
      <w:bookmarkStart w:id="120" w:name="why_mots_c_matters_in_current_research"/>
      <w:r>
        <w:rPr>
          <w:rFonts w:eastAsia="Georgia" w:hAnsi="Georgia" w:cs="Georgia"/>
          <w:b/>
          <w:color w:val="000000"/>
          <w:sz w:val="24"/>
        </w:rPr>
        <w:t>Why MOTS‑c matters in current research</w:t>
      </w:r>
      <w:bookmarkEnd w:id="120"/>
    </w:p>
    <w:p w14:paraId="7465AEB7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MOTS‑c sits at the crossroads of several hot topics in biology:</w:t>
      </w:r>
    </w:p>
    <w:p w14:paraId="7BEC9F75" w14:textId="77777777" w:rsidR="009F16C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Mitochondrial signalling beyond ATP production.</w:t>
      </w:r>
      <w:bookmarkStart w:id="121" w:name="fnref7_3"/>
      <w:bookmarkEnd w:id="121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22" w:name="fnref2_25"/>
      <w:bookmarkEnd w:id="12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FAE4ACF" w14:textId="77777777" w:rsidR="009F16C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Integration of exercise biology, metabolism, and stress responses.</w:t>
      </w:r>
      <w:bookmarkStart w:id="123" w:name="fnref16_5"/>
      <w:bookmarkEnd w:id="123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124" w:name="fnref6_16"/>
      <w:bookmarkEnd w:id="12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C78B20E" w14:textId="77777777" w:rsidR="009F16C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role of small peptides encoded by non‑classical genes (like sORFs in mitochondrial RNA).</w:t>
      </w:r>
      <w:bookmarkStart w:id="125" w:name="fnref7_4"/>
      <w:bookmarkEnd w:id="12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26" w:name="fnref4_12"/>
      <w:bookmarkEnd w:id="12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5D53882B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For researchers, MOTS‑c offers:</w:t>
      </w:r>
    </w:p>
    <w:p w14:paraId="689BC597" w14:textId="77777777" w:rsidR="009F16C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way to probe how mitochondria communicate with the nucleus and the rest of the cell.</w:t>
      </w:r>
      <w:bookmarkStart w:id="127" w:name="fnref8_4"/>
      <w:bookmarkEnd w:id="127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128" w:name="fnref2_26"/>
      <w:bookmarkEnd w:id="12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29" w:name="fnref4_13"/>
      <w:bookmarkEnd w:id="12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AF8283E" w14:textId="77777777" w:rsidR="009F16C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tool to model metabolic stress, insulin resistance, and exercise adaptation.</w:t>
      </w:r>
      <w:bookmarkStart w:id="130" w:name="fnref2_27"/>
      <w:bookmarkEnd w:id="13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31" w:name="fnref5_9"/>
      <w:bookmarkEnd w:id="13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32" w:name="fnref6_17"/>
      <w:bookmarkEnd w:id="13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5D2CAC10" w14:textId="77777777" w:rsidR="009F16C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new angle for studying how mitochondrial signals influence aging and age‑related conditions.</w:t>
      </w:r>
      <w:bookmarkStart w:id="133" w:name="fnref6_18"/>
      <w:bookmarkEnd w:id="13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34" w:name="fnref14_7"/>
      <w:bookmarkEnd w:id="134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135" w:name="fnref4_14"/>
      <w:bookmarkEnd w:id="13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5D1BDFA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B3C4D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71E355" w14:textId="77777777" w:rsidR="009F16CB" w:rsidRDefault="00000000">
      <w:pPr>
        <w:spacing w:before="315" w:after="105" w:line="360" w:lineRule="auto"/>
        <w:ind w:left="-30"/>
      </w:pPr>
      <w:bookmarkStart w:id="136" w:name="limitations_and_research_gaps"/>
      <w:r>
        <w:rPr>
          <w:rFonts w:eastAsia="Georgia" w:hAnsi="Georgia" w:cs="Georgia"/>
          <w:b/>
          <w:color w:val="000000"/>
          <w:sz w:val="24"/>
        </w:rPr>
        <w:t>Limitations and research gaps</w:t>
      </w:r>
      <w:bookmarkEnd w:id="136"/>
    </w:p>
    <w:p w14:paraId="6E2B009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Even though the data so far are promising, there are important limitations:</w:t>
      </w:r>
    </w:p>
    <w:p w14:paraId="02C31427" w14:textId="77777777" w:rsidR="009F16C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Limited large‑scale human trials:</w:t>
      </w:r>
      <w:r>
        <w:rPr>
          <w:rFonts w:eastAsia="Georgia" w:hAnsi="Georgia" w:cs="Georgia"/>
          <w:color w:val="000000"/>
        </w:rPr>
        <w:t xml:space="preserve"> Most MOTS‑c work remains preclinical or exploratory; high‑quality human data are sparse.</w:t>
      </w:r>
      <w:bookmarkStart w:id="137" w:name="fnref2_28"/>
      <w:bookmarkEnd w:id="13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38" w:name="fnref13_10"/>
      <w:bookmarkEnd w:id="13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139" w:name="fnref4_15"/>
      <w:bookmarkEnd w:id="13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10E8C78E" w14:textId="77777777" w:rsidR="009F16C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Mechanism details:</w:t>
      </w:r>
      <w:r>
        <w:rPr>
          <w:rFonts w:eastAsia="Georgia" w:hAnsi="Georgia" w:cs="Georgia"/>
          <w:color w:val="000000"/>
        </w:rPr>
        <w:t xml:space="preserve"> We know MOTS‑c involves AMPK and nuclear gene regulation, but many downstream pathways and long‑term effects are still being mapped.</w:t>
      </w:r>
      <w:bookmarkStart w:id="140" w:name="fnref14_8"/>
      <w:bookmarkEnd w:id="14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bookmarkStart w:id="141" w:name="fnref16_6"/>
      <w:bookmarkEnd w:id="141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fldChar w:fldCharType="end"/>
      </w:r>
      <w:bookmarkStart w:id="142" w:name="fnref2_29"/>
      <w:bookmarkEnd w:id="14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D3C4C95" w14:textId="77777777" w:rsidR="009F16C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Model differences:</w:t>
      </w:r>
      <w:r>
        <w:rPr>
          <w:rFonts w:eastAsia="Georgia" w:hAnsi="Georgia" w:cs="Georgia"/>
          <w:color w:val="000000"/>
        </w:rPr>
        <w:t xml:space="preserve"> Results can vary between cell types, animal strains, and experimental protocols, so findings are not always directly comparable.</w:t>
      </w:r>
      <w:bookmarkStart w:id="143" w:name="fnref9_3"/>
      <w:bookmarkEnd w:id="143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144" w:name="fnref4_16"/>
      <w:bookmarkEnd w:id="14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45" w:name="fnref2_30"/>
      <w:bookmarkEnd w:id="14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1D52D13D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Because of these uncertainties, MOTS‑c is still best viewed as an experimental research peptide and not as a validated therapy.</w:t>
      </w:r>
      <w:bookmarkStart w:id="146" w:name="fnref18"/>
      <w:bookmarkEnd w:id="146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147" w:name="fnref13_11"/>
      <w:bookmarkEnd w:id="147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148" w:name="fnref2_31"/>
      <w:bookmarkEnd w:id="14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0D31D439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00B5D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A757FD" w14:textId="77777777" w:rsidR="009F16CB" w:rsidRDefault="00000000">
      <w:pPr>
        <w:spacing w:before="315" w:after="105" w:line="360" w:lineRule="auto"/>
        <w:ind w:left="-30"/>
      </w:pPr>
      <w:bookmarkStart w:id="149" w:name="frequently_asked_questions"/>
      <w:r>
        <w:rPr>
          <w:rFonts w:eastAsia="Georgia" w:hAnsi="Georgia" w:cs="Georgia"/>
          <w:b/>
          <w:color w:val="000000"/>
          <w:sz w:val="24"/>
        </w:rPr>
        <w:t>Frequently asked questions</w:t>
      </w:r>
      <w:bookmarkEnd w:id="149"/>
    </w:p>
    <w:p w14:paraId="6DE7511C" w14:textId="77777777" w:rsidR="009F16CB" w:rsidRDefault="00000000">
      <w:pPr>
        <w:spacing w:before="315" w:after="105" w:line="360" w:lineRule="auto"/>
        <w:ind w:left="-30"/>
      </w:pPr>
      <w:bookmarkStart w:id="150" w:name="bm_1_is_mots_c_a_peptide_or_a_protein"/>
      <w:r>
        <w:rPr>
          <w:rFonts w:eastAsia="Georgia" w:hAnsi="Georgia" w:cs="Georgia"/>
          <w:b/>
          <w:color w:val="000000"/>
          <w:sz w:val="24"/>
        </w:rPr>
        <w:t>1. Is MOTS‑c a peptide or a protein?</w:t>
      </w:r>
      <w:bookmarkEnd w:id="150"/>
    </w:p>
    <w:p w14:paraId="5E1F94F5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MOTS‑c is a </w:t>
      </w:r>
      <w:r>
        <w:rPr>
          <w:rFonts w:eastAsia="Georgia" w:hAnsi="Georgia" w:cs="Georgia"/>
          <w:b/>
          <w:color w:val="000000"/>
        </w:rPr>
        <w:t>mitochondrial‑derived peptide</w:t>
      </w:r>
      <w:r>
        <w:rPr>
          <w:rFonts w:eastAsia="Georgia" w:hAnsi="Georgia" w:cs="Georgia"/>
          <w:color w:val="000000"/>
        </w:rPr>
        <w:t xml:space="preserve"> made of 16 amino acids.</w:t>
      </w:r>
      <w:bookmarkStart w:id="151" w:name="fnref3_5"/>
      <w:bookmarkEnd w:id="15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52" w:name="fnref2_32"/>
      <w:bookmarkEnd w:id="15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r>
        <w:rPr>
          <w:rFonts w:eastAsia="Georgia" w:hAnsi="Georgia" w:cs="Georgia"/>
          <w:color w:val="000000"/>
        </w:rPr>
        <w:br/>
        <w:t>Its small size and signalling role place it in the peptide category rather than larger, structural proteins.</w:t>
      </w:r>
    </w:p>
    <w:p w14:paraId="7CA26985" w14:textId="77777777" w:rsidR="009F16CB" w:rsidRDefault="00000000">
      <w:pPr>
        <w:spacing w:before="315" w:after="105" w:line="360" w:lineRule="auto"/>
        <w:ind w:left="-30"/>
      </w:pPr>
      <w:bookmarkStart w:id="153" w:name="bm_2_why_is_mots_c_linked_to_meta_dd3c8a"/>
      <w:r>
        <w:rPr>
          <w:rFonts w:eastAsia="Georgia" w:hAnsi="Georgia" w:cs="Georgia"/>
          <w:b/>
          <w:color w:val="000000"/>
          <w:sz w:val="24"/>
        </w:rPr>
        <w:t>2. Why is MOTS‑c linked to metabolism in studies?</w:t>
      </w:r>
      <w:bookmarkEnd w:id="153"/>
    </w:p>
    <w:p w14:paraId="7DB71071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Preclinical studies suggest that MOTS‑c targets skeletal muscle and other tissues to improve glucose metabolism and insulin sensitivity, often through AMPK‑related pathways.</w:t>
      </w:r>
      <w:bookmarkStart w:id="154" w:name="fnref5_10"/>
      <w:bookmarkEnd w:id="15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55" w:name="fnref6_19"/>
      <w:bookmarkEnd w:id="15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  <w:bookmarkStart w:id="156" w:name="fnref14_9"/>
      <w:bookmarkEnd w:id="156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fldChar w:fldCharType="end"/>
      </w:r>
      <w:r>
        <w:rPr>
          <w:rFonts w:eastAsia="Georgia" w:hAnsi="Georgia" w:cs="Georgia"/>
          <w:color w:val="000000"/>
        </w:rPr>
        <w:br/>
        <w:t>Because of this, MOTS‑c is being used as a tool to study obesity, insulin resistance, and other metabolic conditions in controlled models.</w:t>
      </w:r>
      <w:bookmarkStart w:id="157" w:name="fnref15_3"/>
      <w:bookmarkEnd w:id="157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fldChar w:fldCharType="end"/>
      </w:r>
      <w:bookmarkStart w:id="158" w:name="fnref5_11"/>
      <w:bookmarkEnd w:id="15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159" w:name="fnref2_33"/>
      <w:bookmarkEnd w:id="15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2FECC70" w14:textId="77777777" w:rsidR="009F16CB" w:rsidRDefault="00000000">
      <w:pPr>
        <w:spacing w:before="315" w:after="105" w:line="360" w:lineRule="auto"/>
        <w:ind w:left="-30"/>
      </w:pPr>
      <w:bookmarkStart w:id="160" w:name="bm_3_is_mots_c_approved_for_human_use"/>
      <w:r>
        <w:rPr>
          <w:rFonts w:eastAsia="Georgia" w:hAnsi="Georgia" w:cs="Georgia"/>
          <w:b/>
          <w:color w:val="000000"/>
          <w:sz w:val="24"/>
        </w:rPr>
        <w:t>3. Is MOTS‑c approved for human use?</w:t>
      </w:r>
      <w:bookmarkEnd w:id="160"/>
    </w:p>
    <w:p w14:paraId="33F5DB9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No.</w:t>
      </w:r>
      <w:r>
        <w:rPr>
          <w:rFonts w:eastAsia="Georgia" w:hAnsi="Georgia" w:cs="Georgia"/>
          <w:color w:val="000000"/>
        </w:rPr>
        <w:br/>
        <w:t xml:space="preserve">MOTS‑c itself is </w:t>
      </w:r>
      <w:r>
        <w:rPr>
          <w:rFonts w:eastAsia="Georgia" w:hAnsi="Georgia" w:cs="Georgia"/>
          <w:b/>
          <w:color w:val="000000"/>
        </w:rPr>
        <w:t>not approved</w:t>
      </w:r>
      <w:r>
        <w:rPr>
          <w:rFonts w:eastAsia="Georgia" w:hAnsi="Georgia" w:cs="Georgia"/>
          <w:color w:val="000000"/>
        </w:rPr>
        <w:t xml:space="preserve"> as a medicine, supplement, or performance aid for the general population.</w:t>
      </w:r>
      <w:bookmarkStart w:id="161" w:name="fnref19"/>
      <w:bookmarkEnd w:id="161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  <w:bookmarkStart w:id="162" w:name="fnref18_1"/>
      <w:bookmarkEnd w:id="162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163" w:name="fnref13_12"/>
      <w:bookmarkEnd w:id="16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r>
        <w:rPr>
          <w:rFonts w:eastAsia="Georgia" w:hAnsi="Georgia" w:cs="Georgia"/>
          <w:color w:val="000000"/>
        </w:rPr>
        <w:br/>
        <w:t>Some related compounds have been tested in early clinical settings, but safety, dosing, and efficacy are still under investigation, and regulatory authorities have not approved MOTS‑c as a therapeutic product.</w:t>
      </w:r>
      <w:bookmarkStart w:id="164" w:name="fnref11_2"/>
      <w:bookmarkEnd w:id="164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fldChar w:fldCharType="end"/>
      </w:r>
      <w:bookmarkStart w:id="165" w:name="fnref13_13"/>
      <w:bookmarkEnd w:id="165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  <w:bookmarkStart w:id="166" w:name="fnref2_34"/>
      <w:bookmarkEnd w:id="16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9F6609C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EEBAB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BE52D51" w14:textId="77777777" w:rsidR="009F16CB" w:rsidRDefault="00000000">
      <w:pPr>
        <w:spacing w:before="315" w:after="105" w:line="360" w:lineRule="auto"/>
        <w:ind w:left="-30"/>
      </w:pPr>
      <w:bookmarkStart w:id="167" w:name="research_use_only_disclaimer"/>
      <w:r>
        <w:rPr>
          <w:rFonts w:eastAsia="Georgia" w:hAnsi="Georgia" w:cs="Georgia"/>
          <w:b/>
          <w:color w:val="000000"/>
          <w:sz w:val="24"/>
        </w:rPr>
        <w:t>Research‑use‑only disclaimer</w:t>
      </w:r>
      <w:bookmarkEnd w:id="167"/>
    </w:p>
    <w:p w14:paraId="220864F4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MOTS‑c and other research peptides discussed here are intended </w:t>
      </w:r>
      <w:r>
        <w:rPr>
          <w:rFonts w:eastAsia="Georgia" w:hAnsi="Georgia" w:cs="Georgia"/>
          <w:b/>
          <w:color w:val="000000"/>
        </w:rPr>
        <w:t>only for laboratory research</w:t>
      </w:r>
      <w:r>
        <w:rPr>
          <w:rFonts w:eastAsia="Georgia" w:hAnsi="Georgia" w:cs="Georgia"/>
          <w:color w:val="000000"/>
        </w:rPr>
        <w:t>, such as in‑vitro experiments and approved preclinical models.</w:t>
      </w:r>
      <w:bookmarkStart w:id="168" w:name="fnref20"/>
      <w:bookmarkEnd w:id="168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fldChar w:fldCharType="end"/>
      </w:r>
      <w:bookmarkStart w:id="169" w:name="fnref18_2"/>
      <w:bookmarkEnd w:id="169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170" w:name="fnref19_1"/>
      <w:bookmarkEnd w:id="170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  <w:r>
        <w:rPr>
          <w:rFonts w:eastAsia="Georgia" w:hAnsi="Georgia" w:cs="Georgia"/>
          <w:color w:val="000000"/>
        </w:rPr>
        <w:br/>
        <w:t xml:space="preserve">They are </w:t>
      </w:r>
      <w:r>
        <w:rPr>
          <w:rFonts w:eastAsia="Georgia" w:hAnsi="Georgia" w:cs="Georgia"/>
          <w:b/>
          <w:color w:val="000000"/>
        </w:rPr>
        <w:t>not</w:t>
      </w:r>
      <w:r>
        <w:rPr>
          <w:rFonts w:eastAsia="Georgia" w:hAnsi="Georgia" w:cs="Georgia"/>
          <w:color w:val="000000"/>
        </w:rPr>
        <w:t xml:space="preserve"> approved for human or veterinary consumption, diagnosis, treatment, or any therapeutic or performance‑enhancing use.</w:t>
      </w:r>
      <w:bookmarkStart w:id="171" w:name="fnref18_3"/>
      <w:bookmarkEnd w:id="17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fldChar w:fldCharType="end"/>
      </w:r>
      <w:bookmarkStart w:id="172" w:name="fnref19_2"/>
      <w:bookmarkEnd w:id="172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  <w:bookmarkStart w:id="173" w:name="fnref13_14"/>
      <w:bookmarkEnd w:id="17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fldChar w:fldCharType="end"/>
      </w:r>
    </w:p>
    <w:p w14:paraId="3715A71A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All experimental work with MOTS‑c should be carried out by qualified personnel in appropriately equipped facilities, following institutional ethics and safety guidelines.</w:t>
      </w:r>
      <w:bookmarkStart w:id="174" w:name="fnref19_3"/>
      <w:bookmarkEnd w:id="174"/>
      <w:r>
        <w:fldChar w:fldCharType="begin"/>
      </w:r>
      <w:r>
        <w:instrText>HYPERLINK \l "fn19"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fldChar w:fldCharType="end"/>
      </w:r>
      <w:bookmarkStart w:id="175" w:name="fnref20_1"/>
      <w:bookmarkEnd w:id="175"/>
      <w:r>
        <w:fldChar w:fldCharType="begin"/>
      </w:r>
      <w:r>
        <w:instrText>HYPERLINK \l "fn20"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[20]</w:t>
      </w:r>
      <w:r>
        <w:fldChar w:fldCharType="end"/>
      </w:r>
    </w:p>
    <w:p w14:paraId="54B86EB4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69244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7BDC90" w14:textId="77777777" w:rsidR="009F16C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If you want, next I can turn this same blog into a shorter “summary box” version for your MOTS‑c product page, so the blog and product page link together cleanly.</w:t>
      </w:r>
      <w:r>
        <w:rPr>
          <w:rFonts w:eastAsia="Georgia" w:hAnsi="Georgia" w:cs="Georgia"/>
          <w:color w:val="000000"/>
        </w:rPr>
        <w:br/>
      </w:r>
    </w:p>
    <w:p w14:paraId="24C94CBE" w14:textId="77777777" w:rsidR="009F16CB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5991D2FD" w14:textId="77777777" w:rsidR="009F16CB" w:rsidRDefault="00BA7F1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D0EA4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76" w:name="fn1"/>
    <w:bookmarkEnd w:id="176"/>
    <w:p w14:paraId="4A581611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"https://pubmed.ncbi.nlm.nih.gov/27070352/"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https://pubmed.ncbi.nlm.nih.gov/27070352/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7" w:name="fn2"/>
    <w:bookmarkEnd w:id="177"/>
    <w:p w14:paraId="30536211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lastRenderedPageBreak/>
        <w:fldChar w:fldCharType="begin"/>
      </w:r>
      <w:r>
        <w:instrText>HYPERLINK "https://www.frontiersin.org/journals/endocrinology/articles/10.3389/fendo.2023.1120533/full"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https://www.frontiersin.org/journals/endocrinology/articles/10.3389/fendo.2023.1120533/full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                  </w:t>
      </w:r>
    </w:p>
    <w:bookmarkStart w:id="178" w:name="fn3"/>
    <w:bookmarkEnd w:id="178"/>
    <w:p w14:paraId="09E6027E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"https://en.wikipedia.org/wiki/MOTS-c"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https://en.wikipedia.org/wiki/MOTS-c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179" w:name="fn4"/>
    <w:bookmarkEnd w:id="179"/>
    <w:p w14:paraId="57FA46DB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"https://pmc.ncbi.nlm.nih.gov/articles/PMC9905433/"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https://pmc.ncbi.nlm.nih.gov/articles/PMC9905433/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</w:t>
      </w:r>
    </w:p>
    <w:bookmarkStart w:id="180" w:name="fn5"/>
    <w:bookmarkEnd w:id="180"/>
    <w:p w14:paraId="377D2A68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"https://pubmed.ncbi.nlm.nih.gov/27216708/"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https://pubmed.ncbi.nlm.nih.gov/27216708/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</w:t>
      </w:r>
    </w:p>
    <w:bookmarkStart w:id="181" w:name="fn6"/>
    <w:bookmarkEnd w:id="181"/>
    <w:p w14:paraId="57D0B25E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"https://www.biorxiv.org/content/10.1101/2019.12.22.886432v2.full"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https://www.biorxiv.org/content/10.1101/2019.12.22.886432v2.full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   </w:t>
      </w:r>
    </w:p>
    <w:bookmarkStart w:id="182" w:name="fn7"/>
    <w:bookmarkEnd w:id="182"/>
    <w:p w14:paraId="7C57B123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"https://pmc.ncbi.nlm.nih.gov/articles/PMC10465549/"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https://pmc.ncbi.nlm.nih.gov/articles/PMC10465549/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83" w:name="fn8"/>
    <w:bookmarkEnd w:id="183"/>
    <w:p w14:paraId="4B33889F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"https://pmc.ncbi.nlm.nih.gov/articles/PMC6185997/"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https://pmc.ncbi.nlm.nih.gov/articles/PMC6185997/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84" w:name="fn9"/>
    <w:bookmarkEnd w:id="184"/>
    <w:p w14:paraId="130D0DD0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"https://pmc.ncbi.nlm.nih.gov/articles/PMC4925829/"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https://pmc.ncbi.nlm.nih.gov/articles/PMC4925829/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85" w:name="fn10"/>
    <w:bookmarkEnd w:id="185"/>
    <w:p w14:paraId="76D79410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"https://www.alzdiscovery.org/uploads/cognitive_vitality_media/Small-humanin-like-peptides.pdf"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https://www.alzdiscovery.org/uploads/cognitive_vitality_media/Small-humanin-like-peptides.pdf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6" w:name="fn11"/>
    <w:bookmarkEnd w:id="186"/>
    <w:p w14:paraId="47583029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"https://rethinkpeptides.com/articles/mitochondrial-derived-peptides-a-new-class-of-anti-aging-molecules"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https://rethinkpeptides.com/articles/mitochondrial-derived-peptides-a-new-class-of-anti-aging-molecules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87" w:name="fn12"/>
    <w:bookmarkEnd w:id="187"/>
    <w:p w14:paraId="1D3C6299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"https://pubmed.ncbi.nlm.nih.gov/36761202/"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https://pubmed.ncbi.nlm.nih.gov/36761202/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8" w:name="fn13"/>
    <w:bookmarkEnd w:id="188"/>
    <w:p w14:paraId="309F48EC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"https://www.alzdiscovery.org/uploads/cognitive_vitality_media/MOTS-c.pdf"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https://www.alzdiscovery.org/uploads/cognitive_vitality_media/MOTS-c.pdf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</w:t>
      </w:r>
    </w:p>
    <w:bookmarkStart w:id="189" w:name="fn14"/>
    <w:bookmarkEnd w:id="189"/>
    <w:p w14:paraId="69BD4832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"https://www.frontiersin.org/journals/physiology/articles/10.3389/fphys.2025.1602271/full"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https://www.frontiersin.org/journals/physiology/articles/10.3389/fphys.2025.1602271/full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190" w:name="fn15"/>
    <w:bookmarkEnd w:id="190"/>
    <w:p w14:paraId="1D87846D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"https://www.nature.com/articles/s12276-025-01521-1"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https://www.nature.com/articles/s12276-025-01521-1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91" w:name="fn16"/>
    <w:bookmarkEnd w:id="191"/>
    <w:p w14:paraId="72F01067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"https://www.nature.com/articles/s41467-020-20790-0"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https://www.nature.com/articles/s41467-020-20790-0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</w:t>
      </w:r>
    </w:p>
    <w:bookmarkStart w:id="192" w:name="fn17"/>
    <w:bookmarkEnd w:id="192"/>
    <w:p w14:paraId="7EB23234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"https://pmc.ncbi.nlm.nih.gov/articles/PMC10643467/"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https://pmc.ncbi.nlm.nih.gov/articles/PMC10643467/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3" w:name="fn18"/>
    <w:bookmarkEnd w:id="193"/>
    <w:p w14:paraId="153CFF96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"https://www.innerbody.com/mots-c-peptide"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https://www.innerbody.com/mots-c-peptide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94" w:name="fn19"/>
    <w:bookmarkEnd w:id="194"/>
    <w:p w14:paraId="6025D95C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"https://www.usada.org/spirit-of-sport/what-is-mots-c-peptide/"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https://www.usada.org/spirit-of-sport/what-is-mots-c-peptide/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95" w:name="fn20"/>
    <w:bookmarkEnd w:id="195"/>
    <w:p w14:paraId="27107D48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"https://www.nurevpeptides.com/product/mots-c-10mg/"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https://www.nurevpeptides.com/product/mots-c-10mg/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96" w:name="fn21"/>
    <w:bookmarkEnd w:id="196"/>
    <w:p w14:paraId="3EA30B59" w14:textId="77777777" w:rsidR="009F16CB" w:rsidRDefault="00000000">
      <w:pPr>
        <w:numPr>
          <w:ilvl w:val="0"/>
          <w:numId w:val="13"/>
        </w:numPr>
        <w:spacing w:after="210" w:line="360" w:lineRule="auto"/>
      </w:pPr>
      <w:r>
        <w:fldChar w:fldCharType="begin"/>
      </w:r>
      <w:r>
        <w:instrText>HYPERLINK "https://www.sciencedirect.com/science/article/pii/S0925443921000594"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https://www.sciencedirect.com/science/article/pii/S0925443921000594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9F16C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223"/>
    <w:multiLevelType w:val="hybridMultilevel"/>
    <w:tmpl w:val="256C2C4C"/>
    <w:lvl w:ilvl="0" w:tplc="ED98A6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E86A92">
      <w:numFmt w:val="decimal"/>
      <w:lvlText w:val=""/>
      <w:lvlJc w:val="left"/>
    </w:lvl>
    <w:lvl w:ilvl="2" w:tplc="D8721CE4">
      <w:numFmt w:val="decimal"/>
      <w:lvlText w:val=""/>
      <w:lvlJc w:val="left"/>
    </w:lvl>
    <w:lvl w:ilvl="3" w:tplc="BBE4C672">
      <w:numFmt w:val="decimal"/>
      <w:lvlText w:val=""/>
      <w:lvlJc w:val="left"/>
    </w:lvl>
    <w:lvl w:ilvl="4" w:tplc="ABBCC042">
      <w:numFmt w:val="decimal"/>
      <w:lvlText w:val=""/>
      <w:lvlJc w:val="left"/>
    </w:lvl>
    <w:lvl w:ilvl="5" w:tplc="4544AEE8">
      <w:numFmt w:val="decimal"/>
      <w:lvlText w:val=""/>
      <w:lvlJc w:val="left"/>
    </w:lvl>
    <w:lvl w:ilvl="6" w:tplc="676E479A">
      <w:numFmt w:val="decimal"/>
      <w:lvlText w:val=""/>
      <w:lvlJc w:val="left"/>
    </w:lvl>
    <w:lvl w:ilvl="7" w:tplc="650C0B32">
      <w:numFmt w:val="decimal"/>
      <w:lvlText w:val=""/>
      <w:lvlJc w:val="left"/>
    </w:lvl>
    <w:lvl w:ilvl="8" w:tplc="FBEC1D0C">
      <w:numFmt w:val="decimal"/>
      <w:lvlText w:val=""/>
      <w:lvlJc w:val="left"/>
    </w:lvl>
  </w:abstractNum>
  <w:abstractNum w:abstractNumId="1" w15:restartNumberingAfterBreak="0">
    <w:nsid w:val="0F8C2D9C"/>
    <w:multiLevelType w:val="hybridMultilevel"/>
    <w:tmpl w:val="FB30FA1C"/>
    <w:lvl w:ilvl="0" w:tplc="932EBF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462E14">
      <w:numFmt w:val="decimal"/>
      <w:lvlText w:val=""/>
      <w:lvlJc w:val="left"/>
    </w:lvl>
    <w:lvl w:ilvl="2" w:tplc="16EEF576">
      <w:numFmt w:val="decimal"/>
      <w:lvlText w:val=""/>
      <w:lvlJc w:val="left"/>
    </w:lvl>
    <w:lvl w:ilvl="3" w:tplc="4B72D274">
      <w:numFmt w:val="decimal"/>
      <w:lvlText w:val=""/>
      <w:lvlJc w:val="left"/>
    </w:lvl>
    <w:lvl w:ilvl="4" w:tplc="3BC434F2">
      <w:numFmt w:val="decimal"/>
      <w:lvlText w:val=""/>
      <w:lvlJc w:val="left"/>
    </w:lvl>
    <w:lvl w:ilvl="5" w:tplc="A7E82440">
      <w:numFmt w:val="decimal"/>
      <w:lvlText w:val=""/>
      <w:lvlJc w:val="left"/>
    </w:lvl>
    <w:lvl w:ilvl="6" w:tplc="14C40112">
      <w:numFmt w:val="decimal"/>
      <w:lvlText w:val=""/>
      <w:lvlJc w:val="left"/>
    </w:lvl>
    <w:lvl w:ilvl="7" w:tplc="4ADE7DAA">
      <w:numFmt w:val="decimal"/>
      <w:lvlText w:val=""/>
      <w:lvlJc w:val="left"/>
    </w:lvl>
    <w:lvl w:ilvl="8" w:tplc="69E87CB0">
      <w:numFmt w:val="decimal"/>
      <w:lvlText w:val=""/>
      <w:lvlJc w:val="left"/>
    </w:lvl>
  </w:abstractNum>
  <w:abstractNum w:abstractNumId="2" w15:restartNumberingAfterBreak="0">
    <w:nsid w:val="1B511C3A"/>
    <w:multiLevelType w:val="hybridMultilevel"/>
    <w:tmpl w:val="2AC67590"/>
    <w:lvl w:ilvl="0" w:tplc="8E4A55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34674A">
      <w:numFmt w:val="decimal"/>
      <w:lvlText w:val=""/>
      <w:lvlJc w:val="left"/>
    </w:lvl>
    <w:lvl w:ilvl="2" w:tplc="0218D4FA">
      <w:numFmt w:val="decimal"/>
      <w:lvlText w:val=""/>
      <w:lvlJc w:val="left"/>
    </w:lvl>
    <w:lvl w:ilvl="3" w:tplc="2C4845F0">
      <w:numFmt w:val="decimal"/>
      <w:lvlText w:val=""/>
      <w:lvlJc w:val="left"/>
    </w:lvl>
    <w:lvl w:ilvl="4" w:tplc="7A70A8D8">
      <w:numFmt w:val="decimal"/>
      <w:lvlText w:val=""/>
      <w:lvlJc w:val="left"/>
    </w:lvl>
    <w:lvl w:ilvl="5" w:tplc="14F0A7E6">
      <w:numFmt w:val="decimal"/>
      <w:lvlText w:val=""/>
      <w:lvlJc w:val="left"/>
    </w:lvl>
    <w:lvl w:ilvl="6" w:tplc="AD006FA0">
      <w:numFmt w:val="decimal"/>
      <w:lvlText w:val=""/>
      <w:lvlJc w:val="left"/>
    </w:lvl>
    <w:lvl w:ilvl="7" w:tplc="A75C010C">
      <w:numFmt w:val="decimal"/>
      <w:lvlText w:val=""/>
      <w:lvlJc w:val="left"/>
    </w:lvl>
    <w:lvl w:ilvl="8" w:tplc="8AA8D14E">
      <w:numFmt w:val="decimal"/>
      <w:lvlText w:val=""/>
      <w:lvlJc w:val="left"/>
    </w:lvl>
  </w:abstractNum>
  <w:abstractNum w:abstractNumId="3" w15:restartNumberingAfterBreak="0">
    <w:nsid w:val="22250BCA"/>
    <w:multiLevelType w:val="hybridMultilevel"/>
    <w:tmpl w:val="DE88A2EC"/>
    <w:lvl w:ilvl="0" w:tplc="E0B40C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263BA6">
      <w:numFmt w:val="decimal"/>
      <w:lvlText w:val=""/>
      <w:lvlJc w:val="left"/>
    </w:lvl>
    <w:lvl w:ilvl="2" w:tplc="D47C1962">
      <w:numFmt w:val="decimal"/>
      <w:lvlText w:val=""/>
      <w:lvlJc w:val="left"/>
    </w:lvl>
    <w:lvl w:ilvl="3" w:tplc="4126BE1A">
      <w:numFmt w:val="decimal"/>
      <w:lvlText w:val=""/>
      <w:lvlJc w:val="left"/>
    </w:lvl>
    <w:lvl w:ilvl="4" w:tplc="8376DDA8">
      <w:numFmt w:val="decimal"/>
      <w:lvlText w:val=""/>
      <w:lvlJc w:val="left"/>
    </w:lvl>
    <w:lvl w:ilvl="5" w:tplc="206E8D9C">
      <w:numFmt w:val="decimal"/>
      <w:lvlText w:val=""/>
      <w:lvlJc w:val="left"/>
    </w:lvl>
    <w:lvl w:ilvl="6" w:tplc="118A5238">
      <w:numFmt w:val="decimal"/>
      <w:lvlText w:val=""/>
      <w:lvlJc w:val="left"/>
    </w:lvl>
    <w:lvl w:ilvl="7" w:tplc="9246F748">
      <w:numFmt w:val="decimal"/>
      <w:lvlText w:val=""/>
      <w:lvlJc w:val="left"/>
    </w:lvl>
    <w:lvl w:ilvl="8" w:tplc="1B2A8212">
      <w:numFmt w:val="decimal"/>
      <w:lvlText w:val=""/>
      <w:lvlJc w:val="left"/>
    </w:lvl>
  </w:abstractNum>
  <w:abstractNum w:abstractNumId="4" w15:restartNumberingAfterBreak="0">
    <w:nsid w:val="29781037"/>
    <w:multiLevelType w:val="hybridMultilevel"/>
    <w:tmpl w:val="7272E8C2"/>
    <w:lvl w:ilvl="0" w:tplc="ED5C7F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F05744">
      <w:numFmt w:val="decimal"/>
      <w:lvlText w:val=""/>
      <w:lvlJc w:val="left"/>
    </w:lvl>
    <w:lvl w:ilvl="2" w:tplc="2AEE67DE">
      <w:numFmt w:val="decimal"/>
      <w:lvlText w:val=""/>
      <w:lvlJc w:val="left"/>
    </w:lvl>
    <w:lvl w:ilvl="3" w:tplc="2BE68E46">
      <w:numFmt w:val="decimal"/>
      <w:lvlText w:val=""/>
      <w:lvlJc w:val="left"/>
    </w:lvl>
    <w:lvl w:ilvl="4" w:tplc="7D4C378A">
      <w:numFmt w:val="decimal"/>
      <w:lvlText w:val=""/>
      <w:lvlJc w:val="left"/>
    </w:lvl>
    <w:lvl w:ilvl="5" w:tplc="2A60F724">
      <w:numFmt w:val="decimal"/>
      <w:lvlText w:val=""/>
      <w:lvlJc w:val="left"/>
    </w:lvl>
    <w:lvl w:ilvl="6" w:tplc="AB0C63DC">
      <w:numFmt w:val="decimal"/>
      <w:lvlText w:val=""/>
      <w:lvlJc w:val="left"/>
    </w:lvl>
    <w:lvl w:ilvl="7" w:tplc="7BE2307E">
      <w:numFmt w:val="decimal"/>
      <w:lvlText w:val=""/>
      <w:lvlJc w:val="left"/>
    </w:lvl>
    <w:lvl w:ilvl="8" w:tplc="E11EDDEA">
      <w:numFmt w:val="decimal"/>
      <w:lvlText w:val=""/>
      <w:lvlJc w:val="left"/>
    </w:lvl>
  </w:abstractNum>
  <w:abstractNum w:abstractNumId="5" w15:restartNumberingAfterBreak="0">
    <w:nsid w:val="39FA76F1"/>
    <w:multiLevelType w:val="hybridMultilevel"/>
    <w:tmpl w:val="9490C34A"/>
    <w:lvl w:ilvl="0" w:tplc="A118AC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026A56C">
      <w:numFmt w:val="decimal"/>
      <w:lvlText w:val=""/>
      <w:lvlJc w:val="left"/>
    </w:lvl>
    <w:lvl w:ilvl="2" w:tplc="BCE4EA90">
      <w:numFmt w:val="decimal"/>
      <w:lvlText w:val=""/>
      <w:lvlJc w:val="left"/>
    </w:lvl>
    <w:lvl w:ilvl="3" w:tplc="294EE9D2">
      <w:numFmt w:val="decimal"/>
      <w:lvlText w:val=""/>
      <w:lvlJc w:val="left"/>
    </w:lvl>
    <w:lvl w:ilvl="4" w:tplc="D7569426">
      <w:numFmt w:val="decimal"/>
      <w:lvlText w:val=""/>
      <w:lvlJc w:val="left"/>
    </w:lvl>
    <w:lvl w:ilvl="5" w:tplc="E550AC5C">
      <w:numFmt w:val="decimal"/>
      <w:lvlText w:val=""/>
      <w:lvlJc w:val="left"/>
    </w:lvl>
    <w:lvl w:ilvl="6" w:tplc="E50448DE">
      <w:numFmt w:val="decimal"/>
      <w:lvlText w:val=""/>
      <w:lvlJc w:val="left"/>
    </w:lvl>
    <w:lvl w:ilvl="7" w:tplc="BF3CF978">
      <w:numFmt w:val="decimal"/>
      <w:lvlText w:val=""/>
      <w:lvlJc w:val="left"/>
    </w:lvl>
    <w:lvl w:ilvl="8" w:tplc="135C2C5E">
      <w:numFmt w:val="decimal"/>
      <w:lvlText w:val=""/>
      <w:lvlJc w:val="left"/>
    </w:lvl>
  </w:abstractNum>
  <w:abstractNum w:abstractNumId="6" w15:restartNumberingAfterBreak="0">
    <w:nsid w:val="3F317790"/>
    <w:multiLevelType w:val="hybridMultilevel"/>
    <w:tmpl w:val="2698EC6C"/>
    <w:lvl w:ilvl="0" w:tplc="AA90D7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100CFE">
      <w:numFmt w:val="decimal"/>
      <w:lvlText w:val=""/>
      <w:lvlJc w:val="left"/>
    </w:lvl>
    <w:lvl w:ilvl="2" w:tplc="E634146A">
      <w:numFmt w:val="decimal"/>
      <w:lvlText w:val=""/>
      <w:lvlJc w:val="left"/>
    </w:lvl>
    <w:lvl w:ilvl="3" w:tplc="8E18C106">
      <w:numFmt w:val="decimal"/>
      <w:lvlText w:val=""/>
      <w:lvlJc w:val="left"/>
    </w:lvl>
    <w:lvl w:ilvl="4" w:tplc="79485CEE">
      <w:numFmt w:val="decimal"/>
      <w:lvlText w:val=""/>
      <w:lvlJc w:val="left"/>
    </w:lvl>
    <w:lvl w:ilvl="5" w:tplc="6D5268E8">
      <w:numFmt w:val="decimal"/>
      <w:lvlText w:val=""/>
      <w:lvlJc w:val="left"/>
    </w:lvl>
    <w:lvl w:ilvl="6" w:tplc="0C6002BC">
      <w:numFmt w:val="decimal"/>
      <w:lvlText w:val=""/>
      <w:lvlJc w:val="left"/>
    </w:lvl>
    <w:lvl w:ilvl="7" w:tplc="3B360E92">
      <w:numFmt w:val="decimal"/>
      <w:lvlText w:val=""/>
      <w:lvlJc w:val="left"/>
    </w:lvl>
    <w:lvl w:ilvl="8" w:tplc="3C2E08B0">
      <w:numFmt w:val="decimal"/>
      <w:lvlText w:val=""/>
      <w:lvlJc w:val="left"/>
    </w:lvl>
  </w:abstractNum>
  <w:abstractNum w:abstractNumId="7" w15:restartNumberingAfterBreak="0">
    <w:nsid w:val="4AEB4E86"/>
    <w:multiLevelType w:val="hybridMultilevel"/>
    <w:tmpl w:val="70C25732"/>
    <w:lvl w:ilvl="0" w:tplc="90C8E710">
      <w:numFmt w:val="decimal"/>
      <w:lvlText w:val=""/>
      <w:lvlJc w:val="left"/>
    </w:lvl>
    <w:lvl w:ilvl="1" w:tplc="F5BCF1CE">
      <w:numFmt w:val="decimal"/>
      <w:lvlText w:val=""/>
      <w:lvlJc w:val="left"/>
    </w:lvl>
    <w:lvl w:ilvl="2" w:tplc="05004F5E">
      <w:numFmt w:val="decimal"/>
      <w:lvlText w:val=""/>
      <w:lvlJc w:val="left"/>
    </w:lvl>
    <w:lvl w:ilvl="3" w:tplc="41C0CB7E">
      <w:numFmt w:val="decimal"/>
      <w:lvlText w:val=""/>
      <w:lvlJc w:val="left"/>
    </w:lvl>
    <w:lvl w:ilvl="4" w:tplc="4B3463FE">
      <w:numFmt w:val="decimal"/>
      <w:lvlText w:val=""/>
      <w:lvlJc w:val="left"/>
    </w:lvl>
    <w:lvl w:ilvl="5" w:tplc="9BF0DA32">
      <w:numFmt w:val="decimal"/>
      <w:lvlText w:val=""/>
      <w:lvlJc w:val="left"/>
    </w:lvl>
    <w:lvl w:ilvl="6" w:tplc="4A3A04AA">
      <w:numFmt w:val="decimal"/>
      <w:lvlText w:val=""/>
      <w:lvlJc w:val="left"/>
    </w:lvl>
    <w:lvl w:ilvl="7" w:tplc="3080F14C">
      <w:numFmt w:val="decimal"/>
      <w:lvlText w:val=""/>
      <w:lvlJc w:val="left"/>
    </w:lvl>
    <w:lvl w:ilvl="8" w:tplc="948E86CC">
      <w:numFmt w:val="decimal"/>
      <w:lvlText w:val=""/>
      <w:lvlJc w:val="left"/>
    </w:lvl>
  </w:abstractNum>
  <w:abstractNum w:abstractNumId="8" w15:restartNumberingAfterBreak="0">
    <w:nsid w:val="5F7672F9"/>
    <w:multiLevelType w:val="hybridMultilevel"/>
    <w:tmpl w:val="25A6C74A"/>
    <w:lvl w:ilvl="0" w:tplc="E2F8FD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A8B9C8">
      <w:numFmt w:val="decimal"/>
      <w:lvlText w:val=""/>
      <w:lvlJc w:val="left"/>
    </w:lvl>
    <w:lvl w:ilvl="2" w:tplc="E7044848">
      <w:numFmt w:val="decimal"/>
      <w:lvlText w:val=""/>
      <w:lvlJc w:val="left"/>
    </w:lvl>
    <w:lvl w:ilvl="3" w:tplc="567672F6">
      <w:numFmt w:val="decimal"/>
      <w:lvlText w:val=""/>
      <w:lvlJc w:val="left"/>
    </w:lvl>
    <w:lvl w:ilvl="4" w:tplc="A5E6F3FA">
      <w:numFmt w:val="decimal"/>
      <w:lvlText w:val=""/>
      <w:lvlJc w:val="left"/>
    </w:lvl>
    <w:lvl w:ilvl="5" w:tplc="73DC2FB4">
      <w:numFmt w:val="decimal"/>
      <w:lvlText w:val=""/>
      <w:lvlJc w:val="left"/>
    </w:lvl>
    <w:lvl w:ilvl="6" w:tplc="9A3C6DDE">
      <w:numFmt w:val="decimal"/>
      <w:lvlText w:val=""/>
      <w:lvlJc w:val="left"/>
    </w:lvl>
    <w:lvl w:ilvl="7" w:tplc="70FE27F8">
      <w:numFmt w:val="decimal"/>
      <w:lvlText w:val=""/>
      <w:lvlJc w:val="left"/>
    </w:lvl>
    <w:lvl w:ilvl="8" w:tplc="A76EB22A">
      <w:numFmt w:val="decimal"/>
      <w:lvlText w:val=""/>
      <w:lvlJc w:val="left"/>
    </w:lvl>
  </w:abstractNum>
  <w:abstractNum w:abstractNumId="9" w15:restartNumberingAfterBreak="0">
    <w:nsid w:val="65041B94"/>
    <w:multiLevelType w:val="hybridMultilevel"/>
    <w:tmpl w:val="76B4554A"/>
    <w:lvl w:ilvl="0" w:tplc="5D6A43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F6FB92">
      <w:numFmt w:val="decimal"/>
      <w:lvlText w:val=""/>
      <w:lvlJc w:val="left"/>
    </w:lvl>
    <w:lvl w:ilvl="2" w:tplc="D8724BD2">
      <w:numFmt w:val="decimal"/>
      <w:lvlText w:val=""/>
      <w:lvlJc w:val="left"/>
    </w:lvl>
    <w:lvl w:ilvl="3" w:tplc="40708FB2">
      <w:numFmt w:val="decimal"/>
      <w:lvlText w:val=""/>
      <w:lvlJc w:val="left"/>
    </w:lvl>
    <w:lvl w:ilvl="4" w:tplc="0C6E4F52">
      <w:numFmt w:val="decimal"/>
      <w:lvlText w:val=""/>
      <w:lvlJc w:val="left"/>
    </w:lvl>
    <w:lvl w:ilvl="5" w:tplc="4E2C41A4">
      <w:numFmt w:val="decimal"/>
      <w:lvlText w:val=""/>
      <w:lvlJc w:val="left"/>
    </w:lvl>
    <w:lvl w:ilvl="6" w:tplc="8EC0C36A">
      <w:numFmt w:val="decimal"/>
      <w:lvlText w:val=""/>
      <w:lvlJc w:val="left"/>
    </w:lvl>
    <w:lvl w:ilvl="7" w:tplc="588C5BD0">
      <w:numFmt w:val="decimal"/>
      <w:lvlText w:val=""/>
      <w:lvlJc w:val="left"/>
    </w:lvl>
    <w:lvl w:ilvl="8" w:tplc="C8DE6F78">
      <w:numFmt w:val="decimal"/>
      <w:lvlText w:val=""/>
      <w:lvlJc w:val="left"/>
    </w:lvl>
  </w:abstractNum>
  <w:abstractNum w:abstractNumId="10" w15:restartNumberingAfterBreak="0">
    <w:nsid w:val="67172916"/>
    <w:multiLevelType w:val="hybridMultilevel"/>
    <w:tmpl w:val="F724AC2A"/>
    <w:lvl w:ilvl="0" w:tplc="532AFE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40AF78">
      <w:numFmt w:val="decimal"/>
      <w:lvlText w:val=""/>
      <w:lvlJc w:val="left"/>
    </w:lvl>
    <w:lvl w:ilvl="2" w:tplc="2A3225BC">
      <w:numFmt w:val="decimal"/>
      <w:lvlText w:val=""/>
      <w:lvlJc w:val="left"/>
    </w:lvl>
    <w:lvl w:ilvl="3" w:tplc="FCBA2AA6">
      <w:numFmt w:val="decimal"/>
      <w:lvlText w:val=""/>
      <w:lvlJc w:val="left"/>
    </w:lvl>
    <w:lvl w:ilvl="4" w:tplc="9CC6EA06">
      <w:numFmt w:val="decimal"/>
      <w:lvlText w:val=""/>
      <w:lvlJc w:val="left"/>
    </w:lvl>
    <w:lvl w:ilvl="5" w:tplc="ACD8585E">
      <w:numFmt w:val="decimal"/>
      <w:lvlText w:val=""/>
      <w:lvlJc w:val="left"/>
    </w:lvl>
    <w:lvl w:ilvl="6" w:tplc="A6DCDBBA">
      <w:numFmt w:val="decimal"/>
      <w:lvlText w:val=""/>
      <w:lvlJc w:val="left"/>
    </w:lvl>
    <w:lvl w:ilvl="7" w:tplc="0A188EA2">
      <w:numFmt w:val="decimal"/>
      <w:lvlText w:val=""/>
      <w:lvlJc w:val="left"/>
    </w:lvl>
    <w:lvl w:ilvl="8" w:tplc="6EBEFD54">
      <w:numFmt w:val="decimal"/>
      <w:lvlText w:val=""/>
      <w:lvlJc w:val="left"/>
    </w:lvl>
  </w:abstractNum>
  <w:abstractNum w:abstractNumId="11" w15:restartNumberingAfterBreak="0">
    <w:nsid w:val="75D36620"/>
    <w:multiLevelType w:val="hybridMultilevel"/>
    <w:tmpl w:val="2D94D30A"/>
    <w:lvl w:ilvl="0" w:tplc="CF9085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C446CE">
      <w:numFmt w:val="decimal"/>
      <w:lvlText w:val=""/>
      <w:lvlJc w:val="left"/>
    </w:lvl>
    <w:lvl w:ilvl="2" w:tplc="A142EB06">
      <w:numFmt w:val="decimal"/>
      <w:lvlText w:val=""/>
      <w:lvlJc w:val="left"/>
    </w:lvl>
    <w:lvl w:ilvl="3" w:tplc="0C0224D4">
      <w:numFmt w:val="decimal"/>
      <w:lvlText w:val=""/>
      <w:lvlJc w:val="left"/>
    </w:lvl>
    <w:lvl w:ilvl="4" w:tplc="3392E13E">
      <w:numFmt w:val="decimal"/>
      <w:lvlText w:val=""/>
      <w:lvlJc w:val="left"/>
    </w:lvl>
    <w:lvl w:ilvl="5" w:tplc="9C4EC500">
      <w:numFmt w:val="decimal"/>
      <w:lvlText w:val=""/>
      <w:lvlJc w:val="left"/>
    </w:lvl>
    <w:lvl w:ilvl="6" w:tplc="3B2ECBC6">
      <w:numFmt w:val="decimal"/>
      <w:lvlText w:val=""/>
      <w:lvlJc w:val="left"/>
    </w:lvl>
    <w:lvl w:ilvl="7" w:tplc="0DA029C8">
      <w:numFmt w:val="decimal"/>
      <w:lvlText w:val=""/>
      <w:lvlJc w:val="left"/>
    </w:lvl>
    <w:lvl w:ilvl="8" w:tplc="4984A9BC">
      <w:numFmt w:val="decimal"/>
      <w:lvlText w:val=""/>
      <w:lvlJc w:val="left"/>
    </w:lvl>
  </w:abstractNum>
  <w:abstractNum w:abstractNumId="12" w15:restartNumberingAfterBreak="0">
    <w:nsid w:val="7B1C2B78"/>
    <w:multiLevelType w:val="hybridMultilevel"/>
    <w:tmpl w:val="C56EB9B6"/>
    <w:lvl w:ilvl="0" w:tplc="1D5E2A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4E90A2">
      <w:numFmt w:val="decimal"/>
      <w:lvlText w:val=""/>
      <w:lvlJc w:val="left"/>
    </w:lvl>
    <w:lvl w:ilvl="2" w:tplc="20E2FA0E">
      <w:numFmt w:val="decimal"/>
      <w:lvlText w:val=""/>
      <w:lvlJc w:val="left"/>
    </w:lvl>
    <w:lvl w:ilvl="3" w:tplc="B4C44962">
      <w:numFmt w:val="decimal"/>
      <w:lvlText w:val=""/>
      <w:lvlJc w:val="left"/>
    </w:lvl>
    <w:lvl w:ilvl="4" w:tplc="A504280C">
      <w:numFmt w:val="decimal"/>
      <w:lvlText w:val=""/>
      <w:lvlJc w:val="left"/>
    </w:lvl>
    <w:lvl w:ilvl="5" w:tplc="B7002BEA">
      <w:numFmt w:val="decimal"/>
      <w:lvlText w:val=""/>
      <w:lvlJc w:val="left"/>
    </w:lvl>
    <w:lvl w:ilvl="6" w:tplc="25767F7E">
      <w:numFmt w:val="decimal"/>
      <w:lvlText w:val=""/>
      <w:lvlJc w:val="left"/>
    </w:lvl>
    <w:lvl w:ilvl="7" w:tplc="978654DA">
      <w:numFmt w:val="decimal"/>
      <w:lvlText w:val=""/>
      <w:lvlJc w:val="left"/>
    </w:lvl>
    <w:lvl w:ilvl="8" w:tplc="802E052A">
      <w:numFmt w:val="decimal"/>
      <w:lvlText w:val=""/>
      <w:lvlJc w:val="left"/>
    </w:lvl>
  </w:abstractNum>
  <w:num w:numId="1" w16cid:durableId="1238054626">
    <w:abstractNumId w:val="0"/>
  </w:num>
  <w:num w:numId="2" w16cid:durableId="1848325928">
    <w:abstractNumId w:val="2"/>
  </w:num>
  <w:num w:numId="3" w16cid:durableId="952132778">
    <w:abstractNumId w:val="11"/>
  </w:num>
  <w:num w:numId="4" w16cid:durableId="862744565">
    <w:abstractNumId w:val="12"/>
  </w:num>
  <w:num w:numId="5" w16cid:durableId="2121558690">
    <w:abstractNumId w:val="4"/>
  </w:num>
  <w:num w:numId="6" w16cid:durableId="2010054815">
    <w:abstractNumId w:val="9"/>
  </w:num>
  <w:num w:numId="7" w16cid:durableId="1616325429">
    <w:abstractNumId w:val="6"/>
  </w:num>
  <w:num w:numId="8" w16cid:durableId="88353160">
    <w:abstractNumId w:val="3"/>
  </w:num>
  <w:num w:numId="9" w16cid:durableId="895622073">
    <w:abstractNumId w:val="10"/>
  </w:num>
  <w:num w:numId="10" w16cid:durableId="639578432">
    <w:abstractNumId w:val="1"/>
  </w:num>
  <w:num w:numId="11" w16cid:durableId="906040706">
    <w:abstractNumId w:val="8"/>
  </w:num>
  <w:num w:numId="12" w16cid:durableId="123085849">
    <w:abstractNumId w:val="7"/>
  </w:num>
  <w:num w:numId="13" w16cid:durableId="160774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6CB"/>
    <w:rsid w:val="004543C4"/>
    <w:rsid w:val="00992F4E"/>
    <w:rsid w:val="009F16CB"/>
    <w:rsid w:val="00BA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49CE015"/>
  <w15:docId w15:val="{F4FD59B9-4248-E240-B861-6CF15602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992F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ionpeptides.org/what-is-mots-c-mitochondrial-peptid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2504</Words>
  <Characters>14275</Characters>
  <Application>Microsoft Office Word</Application>
  <DocSecurity>0</DocSecurity>
  <Lines>118</Lines>
  <Paragraphs>33</Paragraphs>
  <ScaleCrop>false</ScaleCrop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raghav MALHOTRA</cp:lastModifiedBy>
  <cp:revision>2</cp:revision>
  <dcterms:created xsi:type="dcterms:W3CDTF">2026-05-03T07:57:00Z</dcterms:created>
  <dcterms:modified xsi:type="dcterms:W3CDTF">2026-05-03T08:25:00Z</dcterms:modified>
</cp:coreProperties>
</file>