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210F3" w14:textId="0D411D0C" w:rsidR="00315771" w:rsidRDefault="00C02B92">
      <w:pPr>
        <w:spacing w:before="157" w:after="157" w:line="270" w:lineRule="auto"/>
        <w:rPr>
          <w:rFonts w:eastAsia="Georgia" w:hAnsi="Georgia" w:cs="Georgia"/>
          <w:b/>
          <w:color w:val="000000"/>
          <w:sz w:val="39"/>
        </w:rPr>
      </w:pPr>
      <w:bookmarkStart w:id="0" w:name="next_blog_read_our_blog_posts"/>
      <w:r w:rsidRPr="00C02B92">
        <w:rPr>
          <w:rFonts w:eastAsia="Georgia" w:hAnsi="Georgia" w:cs="Georgia"/>
          <w:b/>
          <w:color w:val="000000"/>
          <w:sz w:val="39"/>
        </w:rPr>
        <w:t>https://orionpeptides.org/bpc-157-vs-tb-500/</w:t>
      </w:r>
    </w:p>
    <w:p w14:paraId="366313FF" w14:textId="77777777" w:rsidR="00315771" w:rsidRDefault="00315771">
      <w:pPr>
        <w:spacing w:before="157" w:after="157" w:line="270" w:lineRule="auto"/>
        <w:rPr>
          <w:rFonts w:eastAsia="Georgia" w:hAnsi="Georgia" w:cs="Georgia"/>
          <w:b/>
          <w:color w:val="000000"/>
          <w:sz w:val="39"/>
        </w:rPr>
      </w:pPr>
    </w:p>
    <w:p w14:paraId="1763EEEB" w14:textId="77777777" w:rsidR="00315771" w:rsidRDefault="00315771">
      <w:pPr>
        <w:spacing w:before="157" w:after="157" w:line="270" w:lineRule="auto"/>
        <w:rPr>
          <w:rFonts w:eastAsia="Georgia" w:hAnsi="Georgia" w:cs="Georgia"/>
          <w:b/>
          <w:color w:val="000000"/>
          <w:sz w:val="39"/>
        </w:rPr>
      </w:pPr>
    </w:p>
    <w:p w14:paraId="4F8FF7C2" w14:textId="1202FB00" w:rsidR="00684855" w:rsidRDefault="00000000">
      <w:pPr>
        <w:spacing w:before="157" w:after="157" w:line="270" w:lineRule="auto"/>
      </w:pPr>
      <w:r>
        <w:rPr>
          <w:rFonts w:eastAsia="Georgia" w:hAnsi="Georgia" w:cs="Georgia"/>
          <w:b/>
          <w:color w:val="000000"/>
          <w:sz w:val="39"/>
        </w:rPr>
        <w:t>Read Our Blog Posts</w:t>
      </w:r>
      <w:bookmarkEnd w:id="0"/>
    </w:p>
    <w:p w14:paraId="6120BC4B" w14:textId="77777777" w:rsidR="00684855" w:rsidRDefault="00000000">
      <w:pPr>
        <w:spacing w:after="210" w:line="360" w:lineRule="auto"/>
      </w:pPr>
      <w:r>
        <w:rPr>
          <w:rFonts w:eastAsia="Georgia" w:hAnsi="Georgia" w:cs="Georgia"/>
          <w:color w:val="000000"/>
        </w:rPr>
        <w:t>BPC-157 vs TB-500: Which Research Peptide is Better for Tissue Repair? (2026 Research Comparison)</w:t>
      </w:r>
      <w:r>
        <w:rPr>
          <w:rFonts w:eastAsia="Georgia" w:hAnsi="Georgia" w:cs="Georgia"/>
          <w:color w:val="000000"/>
        </w:rPr>
        <w:br/>
        <w:t>One of the most active areas of preclinical research in peptides is tissue repair and recovery. The two common compounds that researchers often compare with each other are</w:t>
      </w:r>
      <w:hyperlink r:id="rId5">
        <w:r>
          <w:rPr>
            <w:rFonts w:ascii="Helvetica Neue" w:eastAsia="Helvetica Neue" w:hAnsi="Helvetica Neue" w:cs="Helvetica Neue"/>
            <w:u w:val="single"/>
          </w:rPr>
          <w:t> BPC-157</w:t>
        </w:r>
      </w:hyperlink>
      <w:r>
        <w:rPr>
          <w:rFonts w:eastAsia="Georgia" w:hAnsi="Georgia" w:cs="Georgia"/>
          <w:color w:val="000000"/>
        </w:rPr>
        <w:t> and </w:t>
      </w:r>
      <w:hyperlink r:id="rId6">
        <w:r>
          <w:rPr>
            <w:rFonts w:ascii="Helvetica Neue" w:eastAsia="Helvetica Neue" w:hAnsi="Helvetica Neue" w:cs="Helvetica Neue"/>
            <w:u w:val="single"/>
          </w:rPr>
          <w:t>TB-500</w:t>
        </w:r>
      </w:hyperlink>
      <w:r>
        <w:rPr>
          <w:rFonts w:eastAsia="Georgia" w:hAnsi="Georgia" w:cs="Georgia"/>
          <w:color w:val="000000"/>
        </w:rPr>
        <w:t> (a fragment of Thymosin Beta-4). They are both investigated as having the potential to hasten recovery in animal models of injury, but by different mechanisms and with strengths in different types of tissue.</w:t>
      </w:r>
      <w:r>
        <w:rPr>
          <w:rFonts w:eastAsia="Georgia" w:hAnsi="Georgia" w:cs="Georgia"/>
          <w:color w:val="000000"/>
        </w:rPr>
        <w:br/>
        <w:t>The article presents a straightforward, juxtapositive research comparison of BPC-157 and TB-500, but only to laboratory and animal research. There are no therapeutic claims made by humans.</w:t>
      </w:r>
      <w:r>
        <w:rPr>
          <w:rFonts w:eastAsia="Georgia" w:hAnsi="Georgia" w:cs="Georgia"/>
          <w:color w:val="000000"/>
        </w:rPr>
        <w:br/>
        <w:t>Important Disclaimer:  </w:t>
      </w:r>
      <w:r>
        <w:rPr>
          <w:rFonts w:eastAsia="Georgia" w:hAnsi="Georgia" w:cs="Georgia"/>
          <w:color w:val="000000"/>
        </w:rPr>
        <w:br/>
        <w:t>BPC-157 and TB-500 are only available as research-use products. Neither is approved by the FDA to be taken orally, as a treatment of injuries, or for any medical use. This comparison is purely informational in the context of research.</w:t>
      </w:r>
      <w:r>
        <w:rPr>
          <w:rFonts w:eastAsia="Georgia" w:hAnsi="Georgia" w:cs="Georgia"/>
          <w:color w:val="000000"/>
        </w:rPr>
        <w:br/>
        <w:t>What Is BPC-157?</w:t>
      </w:r>
      <w:r>
        <w:rPr>
          <w:rFonts w:eastAsia="Georgia" w:hAnsi="Georgia" w:cs="Georgia"/>
          <w:color w:val="000000"/>
        </w:rPr>
        <w:br/>
        <w:t>BPC-157 is an artificial pentadecapeptide (15 amino acids) of a protective gastric juice protein of humans. In laboratory studies, it is mostly studied due to its cytoprotective and regenerative effects on various tissue types.</w:t>
      </w:r>
      <w:r>
        <w:rPr>
          <w:rFonts w:eastAsia="Georgia" w:hAnsi="Georgia" w:cs="Georgia"/>
          <w:color w:val="000000"/>
        </w:rPr>
        <w:br/>
        <w:t>Key research focus areas:</w:t>
      </w:r>
      <w:r>
        <w:rPr>
          <w:rFonts w:eastAsia="Georgia" w:hAnsi="Georgia" w:cs="Georgia"/>
          <w:color w:val="000000"/>
        </w:rPr>
        <w:br/>
        <w:t>Tendon, ligament, and muscle injury models.</w:t>
      </w:r>
      <w:r>
        <w:rPr>
          <w:rFonts w:eastAsia="Georgia" w:hAnsi="Georgia" w:cs="Georgia"/>
          <w:color w:val="000000"/>
        </w:rPr>
        <w:br/>
        <w:t>Mucosal protection and repair of the gastrointestinal tract.</w:t>
      </w:r>
      <w:r>
        <w:rPr>
          <w:rFonts w:eastAsia="Georgia" w:hAnsi="Georgia" w:cs="Georgia"/>
          <w:color w:val="000000"/>
        </w:rPr>
        <w:br/>
        <w:t>Angiogenesis (new blood vessel formation)</w:t>
      </w:r>
      <w:r>
        <w:rPr>
          <w:rFonts w:eastAsia="Georgia" w:hAnsi="Georgia" w:cs="Georgia"/>
          <w:color w:val="000000"/>
        </w:rPr>
        <w:br/>
        <w:t>Collagen structure and tissue remodeling.</w:t>
      </w:r>
      <w:r>
        <w:rPr>
          <w:rFonts w:eastAsia="Georgia" w:hAnsi="Georgia" w:cs="Georgia"/>
          <w:color w:val="000000"/>
        </w:rPr>
        <w:br/>
        <w:t>Anti-inflammatory modulation</w:t>
      </w:r>
      <w:r>
        <w:rPr>
          <w:rFonts w:eastAsia="Georgia" w:hAnsi="Georgia" w:cs="Georgia"/>
          <w:color w:val="000000"/>
        </w:rPr>
        <w:br/>
        <w:t>In animal research, BPC-157 has been observed to be stable in gastric acid, permitting oral administration studies and subcutaneous or intraperitoneal administration.</w:t>
      </w:r>
      <w:r>
        <w:rPr>
          <w:rFonts w:eastAsia="Georgia" w:hAnsi="Georgia" w:cs="Georgia"/>
          <w:color w:val="000000"/>
        </w:rPr>
        <w:br/>
        <w:t>What Is TB-500?</w:t>
      </w:r>
      <w:r>
        <w:rPr>
          <w:rFonts w:eastAsia="Georgia" w:hAnsi="Georgia" w:cs="Georgia"/>
          <w:color w:val="000000"/>
        </w:rPr>
        <w:br/>
        <w:t>TB-500 is an artificial analog of a naturally occurring fragment of a 43-amino acid peptide, Thymosin Beta-4. TB-500 is primarily investigated in the context of research on its actin-sequestering capacity and cell migration, differentiation, and tissue regeneration.</w:t>
      </w:r>
      <w:r>
        <w:rPr>
          <w:rFonts w:eastAsia="Georgia" w:hAnsi="Georgia" w:cs="Georgia"/>
          <w:color w:val="000000"/>
        </w:rPr>
        <w:br/>
        <w:t>Areas of main research interests:</w:t>
      </w:r>
      <w:r>
        <w:rPr>
          <w:rFonts w:eastAsia="Georgia" w:hAnsi="Georgia" w:cs="Georgia"/>
          <w:color w:val="000000"/>
        </w:rPr>
        <w:br/>
      </w:r>
      <w:r>
        <w:rPr>
          <w:rFonts w:eastAsia="Georgia" w:hAnsi="Georgia" w:cs="Georgia"/>
          <w:color w:val="000000"/>
        </w:rPr>
        <w:lastRenderedPageBreak/>
        <w:t>Repair of muscle, tendon, and ligament.</w:t>
      </w:r>
      <w:r>
        <w:rPr>
          <w:rFonts w:eastAsia="Georgia" w:hAnsi="Georgia" w:cs="Georgia"/>
          <w:color w:val="000000"/>
        </w:rPr>
        <w:br/>
        <w:t>Cell motility and wound healing</w:t>
      </w:r>
      <w:r>
        <w:rPr>
          <w:rFonts w:eastAsia="Georgia" w:hAnsi="Georgia" w:cs="Georgia"/>
          <w:color w:val="000000"/>
        </w:rPr>
        <w:br/>
        <w:t>Anti-fibrotic (scar tissue reduction) effects</w:t>
      </w:r>
      <w:r>
        <w:rPr>
          <w:rFonts w:eastAsia="Georgia" w:hAnsi="Georgia" w:cs="Georgia"/>
          <w:color w:val="000000"/>
        </w:rPr>
        <w:br/>
        <w:t>Angiogenesis support</w:t>
      </w:r>
      <w:r>
        <w:rPr>
          <w:rFonts w:eastAsia="Georgia" w:hAnsi="Georgia" w:cs="Georgia"/>
          <w:color w:val="000000"/>
        </w:rPr>
        <w:br/>
        <w:t>General tissue regeneration models.</w:t>
      </w:r>
      <w:r>
        <w:rPr>
          <w:rFonts w:eastAsia="Georgia" w:hAnsi="Georgia" w:cs="Georgia"/>
          <w:color w:val="000000"/>
        </w:rPr>
        <w:br/>
        <w:t>The TB-500 is commonly researched in this area because of its capacity to trigger quicker migration of cells to locations of injury, and it also helps in the reorganization of the extracellular matrix.</w:t>
      </w:r>
      <w:r>
        <w:rPr>
          <w:rFonts w:eastAsia="Georgia" w:hAnsi="Georgia" w:cs="Georgia"/>
          <w:color w:val="000000"/>
        </w:rPr>
        <w:br/>
        <w:t>BPC-157 vs TB-500: Side-by-Side Research Comparison</w:t>
      </w:r>
      <w:r>
        <w:rPr>
          <w:rFonts w:eastAsia="Georgia" w:hAnsi="Georgia" w:cs="Georgia"/>
          <w:color w:val="000000"/>
        </w:rPr>
        <w:br/>
        <w:t>Aspect </w:t>
      </w:r>
      <w:r>
        <w:rPr>
          <w:rFonts w:eastAsia="Georgia" w:hAnsi="Georgia" w:cs="Georgia"/>
          <w:color w:val="000000"/>
        </w:rPr>
        <w:br/>
        <w:t>BPC-157   </w:t>
      </w:r>
      <w:r>
        <w:rPr>
          <w:rFonts w:eastAsia="Georgia" w:hAnsi="Georgia" w:cs="Georgia"/>
          <w:color w:val="000000"/>
        </w:rPr>
        <w:br/>
        <w:t>TB-500 (Thymosin Beta-4 fragment) </w:t>
      </w:r>
      <w:r>
        <w:rPr>
          <w:rFonts w:eastAsia="Georgia" w:hAnsi="Georgia" w:cs="Georgia"/>
          <w:color w:val="000000"/>
        </w:rPr>
        <w:br/>
        <w:t>Basic  Mechanism</w:t>
      </w:r>
      <w:r>
        <w:rPr>
          <w:rFonts w:eastAsia="Georgia" w:hAnsi="Georgia" w:cs="Georgia"/>
          <w:color w:val="000000"/>
        </w:rPr>
        <w:br/>
        <w:t>Cytoprotective, growth factor modulation </w:t>
      </w:r>
      <w:r>
        <w:rPr>
          <w:rFonts w:eastAsia="Georgia" w:hAnsi="Georgia" w:cs="Georgia"/>
          <w:color w:val="000000"/>
        </w:rPr>
        <w:br/>
        <w:t>Actin sequestration, cell migration </w:t>
      </w:r>
      <w:r>
        <w:rPr>
          <w:rFonts w:eastAsia="Georgia" w:hAnsi="Georgia" w:cs="Georgia"/>
          <w:color w:val="000000"/>
        </w:rPr>
        <w:br/>
        <w:t>Primary  Research Focus </w:t>
      </w:r>
      <w:r>
        <w:rPr>
          <w:rFonts w:eastAsia="Georgia" w:hAnsi="Georgia" w:cs="Georgia"/>
          <w:color w:val="000000"/>
        </w:rPr>
        <w:br/>
        <w:t>Tendon/ligament healing, gut repair </w:t>
      </w:r>
      <w:r>
        <w:rPr>
          <w:rFonts w:eastAsia="Georgia" w:hAnsi="Georgia" w:cs="Georgia"/>
          <w:color w:val="000000"/>
        </w:rPr>
        <w:br/>
        <w:t>Muscle/tendon repair, anti-fibrotic effects </w:t>
      </w:r>
      <w:r>
        <w:rPr>
          <w:rFonts w:eastAsia="Georgia" w:hAnsi="Georgia" w:cs="Georgia"/>
          <w:color w:val="000000"/>
        </w:rPr>
        <w:br/>
        <w:t>Tissue Types that are studied </w:t>
      </w:r>
      <w:r>
        <w:rPr>
          <w:rFonts w:eastAsia="Georgia" w:hAnsi="Georgia" w:cs="Georgia"/>
          <w:color w:val="000000"/>
        </w:rPr>
        <w:br/>
        <w:t>Tendon, ligament, muscle, GI tract</w:t>
      </w:r>
      <w:r>
        <w:rPr>
          <w:rFonts w:eastAsia="Georgia" w:hAnsi="Georgia" w:cs="Georgia"/>
          <w:color w:val="000000"/>
        </w:rPr>
        <w:br/>
        <w:t>Muscle, tendon, ligament, skin      </w:t>
      </w:r>
      <w:r>
        <w:rPr>
          <w:rFonts w:eastAsia="Georgia" w:hAnsi="Georgia" w:cs="Georgia"/>
          <w:color w:val="000000"/>
        </w:rPr>
        <w:br/>
        <w:t>Angiogenesis </w:t>
      </w:r>
      <w:r>
        <w:rPr>
          <w:rFonts w:eastAsia="Georgia" w:hAnsi="Georgia" w:cs="Georgia"/>
          <w:color w:val="000000"/>
        </w:rPr>
        <w:br/>
        <w:t>Strong </w:t>
      </w:r>
      <w:r>
        <w:rPr>
          <w:rFonts w:eastAsia="Georgia" w:hAnsi="Georgia" w:cs="Georgia"/>
          <w:color w:val="000000"/>
        </w:rPr>
        <w:br/>
        <w:t>Strong </w:t>
      </w:r>
      <w:r>
        <w:rPr>
          <w:rFonts w:eastAsia="Georgia" w:hAnsi="Georgia" w:cs="Georgia"/>
          <w:color w:val="000000"/>
        </w:rPr>
        <w:br/>
        <w:t>Anti-inflammatory </w:t>
      </w:r>
      <w:r>
        <w:rPr>
          <w:rFonts w:eastAsia="Georgia" w:hAnsi="Georgia" w:cs="Georgia"/>
          <w:color w:val="000000"/>
        </w:rPr>
        <w:br/>
        <w:t>Yes    </w:t>
      </w:r>
      <w:r>
        <w:rPr>
          <w:rFonts w:eastAsia="Georgia" w:hAnsi="Georgia" w:cs="Georgia"/>
          <w:color w:val="000000"/>
        </w:rPr>
        <w:br/>
        <w:t>Yes </w:t>
      </w:r>
      <w:r>
        <w:rPr>
          <w:rFonts w:eastAsia="Georgia" w:hAnsi="Georgia" w:cs="Georgia"/>
          <w:color w:val="000000"/>
        </w:rPr>
        <w:br/>
        <w:t>Route Commonly Studied</w:t>
      </w:r>
      <w:r>
        <w:rPr>
          <w:rFonts w:eastAsia="Georgia" w:hAnsi="Georgia" w:cs="Georgia"/>
          <w:color w:val="000000"/>
        </w:rPr>
        <w:br/>
        <w:t>Oral, subcutaneous, intraperitoneal </w:t>
      </w:r>
      <w:r>
        <w:rPr>
          <w:rFonts w:eastAsia="Georgia" w:hAnsi="Georgia" w:cs="Georgia"/>
          <w:color w:val="000000"/>
        </w:rPr>
        <w:br/>
        <w:t>Subcutaneous, intraperitoneal    </w:t>
      </w:r>
      <w:r>
        <w:rPr>
          <w:rFonts w:eastAsia="Georgia" w:hAnsi="Georgia" w:cs="Georgia"/>
          <w:color w:val="000000"/>
        </w:rPr>
        <w:br/>
        <w:t>Stability   </w:t>
      </w:r>
      <w:r>
        <w:rPr>
          <w:rFonts w:eastAsia="Georgia" w:hAnsi="Georgia" w:cs="Georgia"/>
          <w:color w:val="000000"/>
        </w:rPr>
        <w:br/>
        <w:t>Highly stable in gastric acid</w:t>
      </w:r>
      <w:r>
        <w:rPr>
          <w:rFonts w:eastAsia="Georgia" w:hAnsi="Georgia" w:cs="Georgia"/>
          <w:color w:val="000000"/>
        </w:rPr>
        <w:br/>
        <w:t>Moderate </w:t>
      </w:r>
      <w:r>
        <w:rPr>
          <w:rFonts w:eastAsia="Georgia" w:hAnsi="Georgia" w:cs="Georgia"/>
          <w:color w:val="000000"/>
        </w:rPr>
        <w:br/>
        <w:t>Summary of Differences:</w:t>
      </w:r>
      <w:r>
        <w:rPr>
          <w:rFonts w:eastAsia="Georgia" w:hAnsi="Georgia" w:cs="Georgia"/>
          <w:color w:val="000000"/>
        </w:rPr>
        <w:br/>
        <w:t>BPC-157 has a cytoprotective potential and is mostly studied in the context of gastrointestinal and musculoskeletal injury models. It is frequently researched regarding its potential for shielding and  tissue repair during times of stress or injury.</w:t>
      </w:r>
      <w:r>
        <w:rPr>
          <w:rFonts w:eastAsia="Georgia" w:hAnsi="Georgia" w:cs="Georgia"/>
          <w:color w:val="000000"/>
        </w:rPr>
        <w:br/>
      </w:r>
      <w:r>
        <w:rPr>
          <w:rFonts w:eastAsia="Georgia" w:hAnsi="Georgia" w:cs="Georgia"/>
          <w:color w:val="000000"/>
        </w:rPr>
        <w:lastRenderedPageBreak/>
        <w:t>TB-500 is selected usually when the purpose of the research is cell migration, quick tissue healing, and minimizing scar tissue generation in muscle and tendon models.</w:t>
      </w:r>
      <w:r>
        <w:rPr>
          <w:rFonts w:eastAsia="Georgia" w:hAnsi="Georgia" w:cs="Georgia"/>
          <w:color w:val="000000"/>
        </w:rPr>
        <w:br/>
        <w:t>Numerous studies are investigating peptides alone or in combination to gain a deeper insight into complementary healing mechanisms.</w:t>
      </w:r>
      <w:r>
        <w:rPr>
          <w:rFonts w:eastAsia="Georgia" w:hAnsi="Georgia" w:cs="Georgia"/>
          <w:color w:val="000000"/>
        </w:rPr>
        <w:br/>
        <w:t>Research-Based Benefits of BPC-157 (Lab Environment)</w:t>
      </w:r>
      <w:r>
        <w:rPr>
          <w:rFonts w:eastAsia="Georgia" w:hAnsi="Georgia" w:cs="Georgia"/>
          <w:color w:val="000000"/>
        </w:rPr>
        <w:br/>
        <w:t>BPC-157 in animal and in-vitro studies has been studied to:</w:t>
      </w:r>
      <w:r>
        <w:rPr>
          <w:rFonts w:eastAsia="Georgia" w:hAnsi="Georgia" w:cs="Georgia"/>
          <w:color w:val="000000"/>
        </w:rPr>
        <w:br/>
        <w:t>Accelerated tendon and ligament healing with improved biomechanical strength</w:t>
      </w:r>
      <w:r>
        <w:rPr>
          <w:rFonts w:eastAsia="Georgia" w:hAnsi="Georgia" w:cs="Georgia"/>
          <w:color w:val="000000"/>
        </w:rPr>
        <w:br/>
        <w:t>Gastrointestinal mucosa protection/repair in ulcer and fistula models.</w:t>
      </w:r>
      <w:r>
        <w:rPr>
          <w:rFonts w:eastAsia="Georgia" w:hAnsi="Georgia" w:cs="Georgia"/>
          <w:color w:val="000000"/>
        </w:rPr>
        <w:br/>
        <w:t>Stimulation of angiogenesis and collagen deposition.</w:t>
      </w:r>
      <w:r>
        <w:rPr>
          <w:rFonts w:eastAsia="Georgia" w:hAnsi="Georgia" w:cs="Georgia"/>
          <w:color w:val="000000"/>
        </w:rPr>
        <w:br/>
        <w:t>Decrease in inflammation and oxidative stress at sites of injury.</w:t>
      </w:r>
      <w:r>
        <w:rPr>
          <w:rFonts w:eastAsia="Georgia" w:hAnsi="Georgia" w:cs="Georgia"/>
          <w:color w:val="000000"/>
        </w:rPr>
        <w:br/>
        <w:t>Research-Based Benefits of TB-500 (Lab Environment)</w:t>
      </w:r>
      <w:r>
        <w:rPr>
          <w:rFonts w:eastAsia="Georgia" w:hAnsi="Georgia" w:cs="Georgia"/>
          <w:color w:val="000000"/>
        </w:rPr>
        <w:br/>
        <w:t>TB-500 has been studied in animal and in-vitro studies:</w:t>
      </w:r>
      <w:r>
        <w:rPr>
          <w:rFonts w:eastAsia="Georgia" w:hAnsi="Georgia" w:cs="Georgia"/>
          <w:color w:val="000000"/>
        </w:rPr>
        <w:br/>
        <w:t>Improved wound healing by cell migration and differentiation.</w:t>
      </w:r>
      <w:r>
        <w:rPr>
          <w:rFonts w:eastAsia="Georgia" w:hAnsi="Georgia" w:cs="Georgia"/>
          <w:color w:val="000000"/>
        </w:rPr>
        <w:br/>
        <w:t>Improved functional recovery and less fibrosis with muscle contusion studies.</w:t>
      </w:r>
      <w:r>
        <w:rPr>
          <w:rFonts w:eastAsia="Georgia" w:hAnsi="Georgia" w:cs="Georgia"/>
          <w:color w:val="000000"/>
        </w:rPr>
        <w:br/>
        <w:t>Greater angiogenesis and tissue remodelling in models of injury.</w:t>
      </w:r>
      <w:r>
        <w:rPr>
          <w:rFonts w:eastAsia="Georgia" w:hAnsi="Georgia" w:cs="Georgia"/>
          <w:color w:val="000000"/>
        </w:rPr>
        <w:br/>
        <w:t>Signaling of extracellular matrix structure.</w:t>
      </w:r>
      <w:r>
        <w:rPr>
          <w:rFonts w:eastAsia="Georgia" w:hAnsi="Georgia" w:cs="Georgia"/>
          <w:color w:val="000000"/>
        </w:rPr>
        <w:br/>
        <w:t>Note: Preclinical animal or in-vitro studies only. Both peptides do not have any large-scale human clinical trials. Findings might not be directly applicable from animals to humans.</w:t>
      </w:r>
      <w:r>
        <w:rPr>
          <w:rFonts w:eastAsia="Georgia" w:hAnsi="Georgia" w:cs="Georgia"/>
          <w:color w:val="000000"/>
        </w:rPr>
        <w:br/>
        <w:t>Current Regulatory Status (2026)</w:t>
      </w:r>
      <w:r>
        <w:rPr>
          <w:rFonts w:eastAsia="Georgia" w:hAnsi="Georgia" w:cs="Georgia"/>
          <w:color w:val="000000"/>
        </w:rPr>
        <w:br/>
        <w:t>BPC-157 and TB-500 are not approved by the FDA to be used by humans as of April 2026. According to recent reports by Reuters and The New York Times (March 31, 2026), the FDA is re-evaluating some of the peptides to possibly modify the restrictions on the compounding. But regardless of the fact that restrictions can be relaxed, it does not imply that such peptides are approved drugs. Complete approval would involve a long period of clinical testing that would establish safety and effectiveness – a process that has not taken place with either of the two compounds.</w:t>
      </w:r>
      <w:r>
        <w:rPr>
          <w:rFonts w:eastAsia="Georgia" w:hAnsi="Georgia" w:cs="Georgia"/>
          <w:color w:val="000000"/>
        </w:rPr>
        <w:br/>
        <w:t>Final Thoughts</w:t>
      </w:r>
      <w:r>
        <w:rPr>
          <w:rFonts w:eastAsia="Georgia" w:hAnsi="Georgia" w:cs="Georgia"/>
          <w:color w:val="000000"/>
        </w:rPr>
        <w:br/>
        <w:t>BPC-157 and TB-500 may be used in the research environment in order to provide unique tools to study tissue repair and regeneration. BPC-157 is commonly used in cytoprotective and gastrointestinal repair, and TB-500 is commonly used in cell migration and anti-fibrotic studies of muscle and tendon models. A large number of laboratories investigate both peptides to determine overlapping and complementary pathways of healing.</w:t>
      </w:r>
      <w:r>
        <w:rPr>
          <w:rFonts w:eastAsia="Georgia" w:hAnsi="Georgia" w:cs="Georgia"/>
          <w:color w:val="000000"/>
        </w:rPr>
        <w:br/>
        <w:t>The researchers must also obtain their sources through reputable suppliers offering confirmed purity, third-party Certificates of Analysis, and well-defined Research Use Only labeling. There should be strict compliance with institutional guidelines and ethical research practices.</w:t>
      </w:r>
      <w:r>
        <w:rPr>
          <w:rFonts w:eastAsia="Georgia" w:hAnsi="Georgia" w:cs="Georgia"/>
          <w:color w:val="000000"/>
        </w:rPr>
        <w:br/>
        <w:t>To find reliable suppliers of research peptides BPC-157 and TB-500 of high purity, please see reputable research peptide suppliers.</w:t>
      </w:r>
      <w:r>
        <w:rPr>
          <w:rFonts w:eastAsia="Georgia" w:hAnsi="Georgia" w:cs="Georgia"/>
          <w:color w:val="000000"/>
        </w:rPr>
        <w:br/>
      </w:r>
      <w:r>
        <w:rPr>
          <w:rFonts w:eastAsia="Georgia" w:hAnsi="Georgia" w:cs="Georgia"/>
          <w:color w:val="000000"/>
        </w:rPr>
        <w:lastRenderedPageBreak/>
        <w:t>All research peptides are for laboratory use only.</w:t>
      </w:r>
      <w:r>
        <w:rPr>
          <w:rFonts w:eastAsia="Georgia" w:hAnsi="Georgia" w:cs="Georgia"/>
          <w:color w:val="000000"/>
        </w:rPr>
        <w:br/>
        <w:t>References</w:t>
      </w:r>
    </w:p>
    <w:p w14:paraId="3FE47BE3" w14:textId="77777777" w:rsidR="00684855" w:rsidRDefault="00000000">
      <w:pPr>
        <w:numPr>
          <w:ilvl w:val="0"/>
          <w:numId w:val="1"/>
        </w:numPr>
        <w:spacing w:before="105" w:after="105" w:line="360" w:lineRule="auto"/>
      </w:pPr>
      <w:r>
        <w:rPr>
          <w:rFonts w:eastAsia="Georgia" w:hAnsi="Georgia" w:cs="Georgia"/>
          <w:color w:val="000000"/>
        </w:rPr>
        <w:t>Seiwerth S, et al. BPC 157 and standard angiogenic growth factors. Curr Pharm Des. 2014.  </w:t>
      </w:r>
      <w:r>
        <w:rPr>
          <w:rFonts w:eastAsia="Georgia" w:hAnsi="Georgia" w:cs="Georgia"/>
          <w:color w:val="000000"/>
        </w:rPr>
        <w:br/>
      </w:r>
      <w:hyperlink r:id="rId7">
        <w:r>
          <w:rPr>
            <w:rFonts w:ascii="Helvetica Neue" w:eastAsia="Helvetica Neue" w:hAnsi="Helvetica Neue" w:cs="Helvetica Neue"/>
            <w:u w:val="single"/>
          </w:rPr>
          <w:t>https://pubmed.ncbi.nlm.nih.gov/25415413</w:t>
        </w:r>
      </w:hyperlink>
    </w:p>
    <w:p w14:paraId="3B7189DC" w14:textId="77777777" w:rsidR="00684855" w:rsidRDefault="00000000">
      <w:pPr>
        <w:numPr>
          <w:ilvl w:val="0"/>
          <w:numId w:val="1"/>
        </w:numPr>
        <w:spacing w:before="105" w:after="105" w:line="360" w:lineRule="auto"/>
      </w:pPr>
      <w:r>
        <w:rPr>
          <w:rFonts w:eastAsia="Georgia" w:hAnsi="Georgia" w:cs="Georgia"/>
          <w:color w:val="000000"/>
        </w:rPr>
        <w:t>Sikiric P, et al. Stable gastric pentadecapeptide BPC 157 in trials for inflammatory bowel disease. Curr Pharm Des. 2014.  </w:t>
      </w:r>
      <w:r>
        <w:rPr>
          <w:rFonts w:eastAsia="Georgia" w:hAnsi="Georgia" w:cs="Georgia"/>
          <w:color w:val="000000"/>
        </w:rPr>
        <w:br/>
      </w:r>
      <w:hyperlink r:id="rId8">
        <w:r>
          <w:rPr>
            <w:rFonts w:ascii="Helvetica Neue" w:eastAsia="Helvetica Neue" w:hAnsi="Helvetica Neue" w:cs="Helvetica Neue"/>
            <w:u w:val="single"/>
          </w:rPr>
          <w:t>https://pubmed.ncbi.nlm.nih.gov/25415414</w:t>
        </w:r>
      </w:hyperlink>
    </w:p>
    <w:p w14:paraId="0DC280F6" w14:textId="77777777" w:rsidR="00684855" w:rsidRDefault="00000000">
      <w:pPr>
        <w:numPr>
          <w:ilvl w:val="0"/>
          <w:numId w:val="1"/>
        </w:numPr>
        <w:spacing w:before="105" w:after="105" w:line="360" w:lineRule="auto"/>
      </w:pPr>
      <w:r>
        <w:rPr>
          <w:rFonts w:eastAsia="Georgia" w:hAnsi="Georgia" w:cs="Georgia"/>
          <w:color w:val="000000"/>
        </w:rPr>
        <w:t>Chang CH, et al. The promoting effect of pentadecapeptide BPC 157 on tendon healing involves tendon outgrowth, cell survival, and angiogenesis. J Appl Physiol. 2011.  </w:t>
      </w:r>
      <w:r>
        <w:rPr>
          <w:rFonts w:eastAsia="Georgia" w:hAnsi="Georgia" w:cs="Georgia"/>
          <w:color w:val="000000"/>
        </w:rPr>
        <w:br/>
      </w:r>
      <w:hyperlink r:id="rId9">
        <w:r>
          <w:rPr>
            <w:rFonts w:ascii="Helvetica Neue" w:eastAsia="Helvetica Neue" w:hAnsi="Helvetica Neue" w:cs="Helvetica Neue"/>
            <w:u w:val="single"/>
          </w:rPr>
          <w:t>https://pubmed.ncbi.nlm.nih.gov/21030674</w:t>
        </w:r>
      </w:hyperlink>
    </w:p>
    <w:p w14:paraId="79DA0E24" w14:textId="77777777" w:rsidR="00684855" w:rsidRDefault="00000000">
      <w:pPr>
        <w:numPr>
          <w:ilvl w:val="0"/>
          <w:numId w:val="1"/>
        </w:numPr>
        <w:spacing w:before="105" w:after="105" w:line="360" w:lineRule="auto"/>
      </w:pPr>
      <w:r>
        <w:rPr>
          <w:rFonts w:eastAsia="Georgia" w:hAnsi="Georgia" w:cs="Georgia"/>
          <w:color w:val="000000"/>
        </w:rPr>
        <w:t>Hsieh MJ, et al. Therapeutic potential of pro-angiogenic BPC 157 in tendon healing. J Orthop Res. 2017.  </w:t>
      </w:r>
      <w:r>
        <w:rPr>
          <w:rFonts w:eastAsia="Georgia" w:hAnsi="Georgia" w:cs="Georgia"/>
          <w:color w:val="000000"/>
        </w:rPr>
        <w:br/>
      </w:r>
      <w:hyperlink r:id="rId10">
        <w:r>
          <w:rPr>
            <w:rFonts w:ascii="Helvetica Neue" w:eastAsia="Helvetica Neue" w:hAnsi="Helvetica Neue" w:cs="Helvetica Neue"/>
            <w:u w:val="single"/>
          </w:rPr>
          <w:t>https://pubmed.ncbi.nlm.nih.gov/28205242</w:t>
        </w:r>
      </w:hyperlink>
    </w:p>
    <w:p w14:paraId="3D5D84CC" w14:textId="77777777" w:rsidR="00684855" w:rsidRDefault="00000000">
      <w:pPr>
        <w:numPr>
          <w:ilvl w:val="0"/>
          <w:numId w:val="1"/>
        </w:numPr>
        <w:spacing w:before="105" w:after="105" w:line="360" w:lineRule="auto"/>
      </w:pPr>
      <w:r>
        <w:rPr>
          <w:rFonts w:eastAsia="Georgia" w:hAnsi="Georgia" w:cs="Georgia"/>
          <w:color w:val="000000"/>
        </w:rPr>
        <w:t>Vukojevic J, et al. BPC 157 and its role in healing of muscle, tendon and ligament injuries. Curr Pharm Des. 2020.  </w:t>
      </w:r>
      <w:r>
        <w:rPr>
          <w:rFonts w:eastAsia="Georgia" w:hAnsi="Georgia" w:cs="Georgia"/>
          <w:color w:val="000000"/>
        </w:rPr>
        <w:br/>
      </w:r>
      <w:hyperlink r:id="rId11">
        <w:r>
          <w:rPr>
            <w:rFonts w:ascii="Helvetica Neue" w:eastAsia="Helvetica Neue" w:hAnsi="Helvetica Neue" w:cs="Helvetica Neue"/>
            <w:u w:val="single"/>
          </w:rPr>
          <w:t>https://pubmed.ncbi.nlm.nih.gov/32957874</w:t>
        </w:r>
      </w:hyperlink>
    </w:p>
    <w:p w14:paraId="47BC5A8E" w14:textId="77777777" w:rsidR="00684855" w:rsidRDefault="00000000">
      <w:pPr>
        <w:numPr>
          <w:ilvl w:val="0"/>
          <w:numId w:val="1"/>
        </w:numPr>
        <w:spacing w:before="105" w:after="105" w:line="360" w:lineRule="auto"/>
      </w:pPr>
      <w:r>
        <w:rPr>
          <w:rFonts w:eastAsia="Georgia" w:hAnsi="Georgia" w:cs="Georgia"/>
          <w:color w:val="000000"/>
        </w:rPr>
        <w:t>Malinda KM, et al. Thymosin beta4 accelerates wound healing. J Invest Dermatol. 1999.  </w:t>
      </w:r>
      <w:r>
        <w:rPr>
          <w:rFonts w:eastAsia="Georgia" w:hAnsi="Georgia" w:cs="Georgia"/>
          <w:color w:val="000000"/>
        </w:rPr>
        <w:br/>
      </w:r>
      <w:hyperlink r:id="rId12">
        <w:r>
          <w:rPr>
            <w:rFonts w:ascii="Helvetica Neue" w:eastAsia="Helvetica Neue" w:hAnsi="Helvetica Neue" w:cs="Helvetica Neue"/>
            <w:u w:val="single"/>
          </w:rPr>
          <w:t>https://pubmed.ncbi.nlm.nih.gov/10594724</w:t>
        </w:r>
      </w:hyperlink>
    </w:p>
    <w:p w14:paraId="1FEAC843" w14:textId="77777777" w:rsidR="00684855" w:rsidRDefault="00000000">
      <w:pPr>
        <w:spacing w:after="210" w:line="360" w:lineRule="auto"/>
      </w:pPr>
      <w:r>
        <w:rPr>
          <w:rFonts w:eastAsia="Georgia" w:hAnsi="Georgia" w:cs="Georgia"/>
          <w:color w:val="000000"/>
        </w:rPr>
        <w:t xml:space="preserve">Here’s a polished </w:t>
      </w:r>
      <w:r>
        <w:rPr>
          <w:rFonts w:eastAsia="Georgia" w:hAnsi="Georgia" w:cs="Georgia"/>
          <w:b/>
          <w:color w:val="000000"/>
        </w:rPr>
        <w:t>blog-ready draft</w:t>
      </w:r>
      <w:r>
        <w:rPr>
          <w:rFonts w:eastAsia="Georgia" w:hAnsi="Georgia" w:cs="Georgia"/>
          <w:color w:val="000000"/>
        </w:rPr>
        <w:t xml:space="preserve"> based on your text, with the factual framing tightened and the regulatory section updated to reflect preclinical evidence and current FDA restrictions on BPC-157 and TB-500. BPC-157 is best described as a gastric-derived pentadecapeptide studied for cytoprotective, angiogenic, anti-inflammatory, and tissue-repair effects, while TB-500 is a thymosin beta-4 fragment studied mainly for cell migration, wound healing, and soft-tissue repair.</w:t>
      </w:r>
      <w:bookmarkStart w:id="1" w:name="fnref1"/>
      <w:bookmarkEnd w:id="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 w:name="fnref2"/>
      <w:bookmarkEnd w:id="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0D11818B" w14:textId="77777777" w:rsidR="00684855" w:rsidRDefault="00000000">
      <w:pPr>
        <w:spacing w:before="315" w:after="105" w:line="360" w:lineRule="auto"/>
        <w:ind w:left="-30"/>
      </w:pPr>
      <w:bookmarkStart w:id="3" w:name="bpc_157_vs_tb_500"/>
      <w:r>
        <w:rPr>
          <w:rFonts w:eastAsia="Georgia" w:hAnsi="Georgia" w:cs="Georgia"/>
          <w:b/>
          <w:color w:val="000000"/>
          <w:sz w:val="24"/>
        </w:rPr>
        <w:t>BPC-157 vs TB-500</w:t>
      </w:r>
      <w:bookmarkEnd w:id="3"/>
    </w:p>
    <w:p w14:paraId="73A364BF" w14:textId="77777777" w:rsidR="00684855" w:rsidRDefault="00000000">
      <w:pPr>
        <w:spacing w:after="210" w:line="360" w:lineRule="auto"/>
      </w:pPr>
      <w:r>
        <w:rPr>
          <w:rFonts w:eastAsia="Georgia" w:hAnsi="Georgia" w:cs="Georgia"/>
          <w:color w:val="000000"/>
        </w:rPr>
        <w:t>One of the most active areas in peptide research is tissue repair, and BPC-157 and TB-500 are often compared because both show promising preclinical activity in injury models. The key difference is that BPC-157 is especially associated with tendon, ligament, and gastrointestinal repair models, while TB-500 is more closely tied to cell migration, wound closure, and anti-fibrotic signaling. Both remain investigational, and the available evidence is primarily animal and in-vitro data rather than robust human clinical trials.</w:t>
      </w:r>
      <w:bookmarkStart w:id="4" w:name="fnref1_1"/>
      <w:bookmarkEnd w:id="4"/>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5" w:name="fnref2_1"/>
      <w:bookmarkEnd w:id="5"/>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5E5CD684" w14:textId="77777777" w:rsidR="00684855" w:rsidRDefault="00000000">
      <w:pPr>
        <w:spacing w:before="315" w:after="105" w:line="360" w:lineRule="auto"/>
        <w:ind w:left="-30"/>
      </w:pPr>
      <w:bookmarkStart w:id="6" w:name="regulatory_note"/>
      <w:r>
        <w:rPr>
          <w:rFonts w:eastAsia="Georgia" w:hAnsi="Georgia" w:cs="Georgia"/>
          <w:b/>
          <w:color w:val="000000"/>
          <w:sz w:val="24"/>
        </w:rPr>
        <w:t>Regulatory note</w:t>
      </w:r>
      <w:bookmarkEnd w:id="6"/>
    </w:p>
    <w:p w14:paraId="2A9E6BC8" w14:textId="77777777" w:rsidR="00684855" w:rsidRDefault="00000000">
      <w:pPr>
        <w:spacing w:after="210" w:line="360" w:lineRule="auto"/>
      </w:pPr>
      <w:r>
        <w:rPr>
          <w:rFonts w:eastAsia="Georgia" w:hAnsi="Georgia" w:cs="Georgia"/>
          <w:color w:val="000000"/>
        </w:rPr>
        <w:lastRenderedPageBreak/>
        <w:t>Your disclaimer is directionally correct, but it should be made more precise: BPC-157 has been subject to FDA compounding restrictions, and a 2025 review notes that it is not approved for human clinical use and remains investigational. For TB-500, the public literature also emphasizes that human evidence is limited and that it should be treated as a research compound rather than a proven therapy. Because of that, your article should avoid therapeutic language and keep the focus on laboratory research only.</w:t>
      </w:r>
      <w:bookmarkStart w:id="7" w:name="fnref1_2"/>
      <w:bookmarkEnd w:id="7"/>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8" w:name="fnref2_2"/>
      <w:bookmarkEnd w:id="8"/>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1A99ABBA" w14:textId="77777777" w:rsidR="00684855" w:rsidRDefault="00000000">
      <w:pPr>
        <w:spacing w:before="315" w:after="105" w:line="360" w:lineRule="auto"/>
        <w:ind w:left="-30"/>
      </w:pPr>
      <w:bookmarkStart w:id="9" w:name="suggested_blog_structure"/>
      <w:r>
        <w:rPr>
          <w:rFonts w:eastAsia="Georgia" w:hAnsi="Georgia" w:cs="Georgia"/>
          <w:b/>
          <w:color w:val="000000"/>
          <w:sz w:val="24"/>
        </w:rPr>
        <w:t>Suggested blog structure</w:t>
      </w:r>
      <w:bookmarkEnd w:id="9"/>
    </w:p>
    <w:p w14:paraId="145DD0C5" w14:textId="77777777" w:rsidR="00684855" w:rsidRDefault="00000000">
      <w:pPr>
        <w:spacing w:after="210" w:line="360" w:lineRule="auto"/>
      </w:pPr>
      <w:r>
        <w:rPr>
          <w:rFonts w:eastAsia="Georgia" w:hAnsi="Georgia" w:cs="Georgia"/>
          <w:color w:val="000000"/>
        </w:rPr>
        <w:t>A cleaner article flow would be:</w:t>
      </w:r>
    </w:p>
    <w:p w14:paraId="6E1ED301" w14:textId="77777777" w:rsidR="00684855" w:rsidRDefault="00000000">
      <w:pPr>
        <w:numPr>
          <w:ilvl w:val="0"/>
          <w:numId w:val="2"/>
        </w:numPr>
        <w:spacing w:before="105" w:after="105" w:line="360" w:lineRule="auto"/>
      </w:pPr>
      <w:r>
        <w:rPr>
          <w:rFonts w:eastAsia="Georgia" w:hAnsi="Georgia" w:cs="Georgia"/>
          <w:color w:val="000000"/>
        </w:rPr>
        <w:t>Introduction.</w:t>
      </w:r>
    </w:p>
    <w:p w14:paraId="2F91CB78" w14:textId="77777777" w:rsidR="00684855" w:rsidRDefault="00000000">
      <w:pPr>
        <w:numPr>
          <w:ilvl w:val="0"/>
          <w:numId w:val="2"/>
        </w:numPr>
        <w:spacing w:before="105" w:after="105" w:line="360" w:lineRule="auto"/>
      </w:pPr>
      <w:r>
        <w:rPr>
          <w:rFonts w:eastAsia="Georgia" w:hAnsi="Georgia" w:cs="Georgia"/>
          <w:color w:val="000000"/>
        </w:rPr>
        <w:t>What is BPC-157?</w:t>
      </w:r>
    </w:p>
    <w:p w14:paraId="0737890C" w14:textId="77777777" w:rsidR="00684855" w:rsidRDefault="00000000">
      <w:pPr>
        <w:numPr>
          <w:ilvl w:val="0"/>
          <w:numId w:val="2"/>
        </w:numPr>
        <w:spacing w:before="105" w:after="105" w:line="360" w:lineRule="auto"/>
      </w:pPr>
      <w:r>
        <w:rPr>
          <w:rFonts w:eastAsia="Georgia" w:hAnsi="Georgia" w:cs="Georgia"/>
          <w:color w:val="000000"/>
        </w:rPr>
        <w:t>What is TB-500?</w:t>
      </w:r>
    </w:p>
    <w:p w14:paraId="78914BA7" w14:textId="77777777" w:rsidR="00684855" w:rsidRDefault="00000000">
      <w:pPr>
        <w:numPr>
          <w:ilvl w:val="0"/>
          <w:numId w:val="2"/>
        </w:numPr>
        <w:spacing w:before="105" w:after="105" w:line="360" w:lineRule="auto"/>
      </w:pPr>
      <w:r>
        <w:rPr>
          <w:rFonts w:eastAsia="Georgia" w:hAnsi="Georgia" w:cs="Georgia"/>
          <w:color w:val="000000"/>
        </w:rPr>
        <w:t>Side-by-side research comparison.</w:t>
      </w:r>
    </w:p>
    <w:p w14:paraId="79102BA4" w14:textId="77777777" w:rsidR="00684855" w:rsidRDefault="00000000">
      <w:pPr>
        <w:numPr>
          <w:ilvl w:val="0"/>
          <w:numId w:val="2"/>
        </w:numPr>
        <w:spacing w:before="105" w:after="105" w:line="360" w:lineRule="auto"/>
      </w:pPr>
      <w:r>
        <w:rPr>
          <w:rFonts w:eastAsia="Georgia" w:hAnsi="Georgia" w:cs="Georgia"/>
          <w:color w:val="000000"/>
        </w:rPr>
        <w:t>Research-based findings in animal and in-vitro models.</w:t>
      </w:r>
    </w:p>
    <w:p w14:paraId="7C673B05" w14:textId="77777777" w:rsidR="00684855" w:rsidRDefault="00000000">
      <w:pPr>
        <w:numPr>
          <w:ilvl w:val="0"/>
          <w:numId w:val="2"/>
        </w:numPr>
        <w:spacing w:before="105" w:after="105" w:line="360" w:lineRule="auto"/>
      </w:pPr>
      <w:r>
        <w:rPr>
          <w:rFonts w:eastAsia="Georgia" w:hAnsi="Georgia" w:cs="Georgia"/>
          <w:color w:val="000000"/>
        </w:rPr>
        <w:t>Regulatory status and research-only disclaimer.</w:t>
      </w:r>
    </w:p>
    <w:p w14:paraId="1F50262E" w14:textId="77777777" w:rsidR="00684855" w:rsidRDefault="00000000">
      <w:pPr>
        <w:numPr>
          <w:ilvl w:val="0"/>
          <w:numId w:val="2"/>
        </w:numPr>
        <w:spacing w:before="105" w:after="105" w:line="360" w:lineRule="auto"/>
      </w:pPr>
      <w:r>
        <w:rPr>
          <w:rFonts w:eastAsia="Georgia" w:hAnsi="Georgia" w:cs="Georgia"/>
          <w:color w:val="000000"/>
        </w:rPr>
        <w:t>Final thoughts.</w:t>
      </w:r>
    </w:p>
    <w:p w14:paraId="60D573D2" w14:textId="77777777" w:rsidR="00684855" w:rsidRDefault="00000000">
      <w:pPr>
        <w:spacing w:after="210" w:line="360" w:lineRule="auto"/>
      </w:pPr>
      <w:r>
        <w:rPr>
          <w:rFonts w:eastAsia="Georgia" w:hAnsi="Georgia" w:cs="Georgia"/>
          <w:color w:val="000000"/>
        </w:rPr>
        <w:t>This structure keeps the comparison easy to scan and fits an educational blog format well.</w:t>
      </w:r>
      <w:bookmarkStart w:id="10" w:name="fnref1_3"/>
      <w:bookmarkEnd w:id="10"/>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11" w:name="fnref2_3"/>
      <w:bookmarkEnd w:id="11"/>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77C93992" w14:textId="77777777" w:rsidR="00684855" w:rsidRDefault="00000000">
      <w:pPr>
        <w:spacing w:before="315" w:after="105" w:line="360" w:lineRule="auto"/>
        <w:ind w:left="-30"/>
      </w:pPr>
      <w:bookmarkStart w:id="12" w:name="edited_comparison_table"/>
      <w:r>
        <w:rPr>
          <w:rFonts w:eastAsia="Georgia" w:hAnsi="Georgia" w:cs="Georgia"/>
          <w:b/>
          <w:color w:val="000000"/>
          <w:sz w:val="24"/>
        </w:rPr>
        <w:t>Edited comparison table</w:t>
      </w:r>
      <w:bookmarkEnd w:id="1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97"/>
        <w:gridCol w:w="3761"/>
        <w:gridCol w:w="3546"/>
      </w:tblGrid>
      <w:tr w:rsidR="00684855" w14:paraId="4593AA2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B280A9" w14:textId="77777777" w:rsidR="00684855" w:rsidRDefault="00000000">
            <w:pPr>
              <w:spacing w:line="360" w:lineRule="auto"/>
            </w:pPr>
            <w:r>
              <w:rPr>
                <w:rFonts w:ascii="Helvetica Neue" w:eastAsia="Helvetica Neue" w:hAnsi="Helvetica Neue" w:cs="Helvetica Neue"/>
                <w:color w:val="000000"/>
                <w:sz w:val="17"/>
              </w:rPr>
              <w:t>Aspect</w:t>
            </w:r>
          </w:p>
        </w:tc>
        <w:tc>
          <w:tcPr>
            <w:tcW w:w="0" w:type="auto"/>
            <w:tcBorders>
              <w:top w:val="single" w:sz="1" w:space="0" w:color="000000"/>
              <w:bottom w:val="single" w:sz="1" w:space="0" w:color="000000"/>
              <w:right w:val="single" w:sz="1" w:space="0" w:color="000000"/>
            </w:tcBorders>
          </w:tcPr>
          <w:p w14:paraId="43FEBF84" w14:textId="77777777" w:rsidR="00684855" w:rsidRDefault="00000000">
            <w:pPr>
              <w:spacing w:line="360" w:lineRule="auto"/>
            </w:pPr>
            <w:r>
              <w:rPr>
                <w:rFonts w:ascii="Helvetica Neue" w:eastAsia="Helvetica Neue" w:hAnsi="Helvetica Neue" w:cs="Helvetica Neue"/>
                <w:color w:val="000000"/>
                <w:sz w:val="17"/>
              </w:rPr>
              <w:t>BPC-157</w:t>
            </w:r>
          </w:p>
        </w:tc>
        <w:tc>
          <w:tcPr>
            <w:tcW w:w="0" w:type="auto"/>
            <w:tcBorders>
              <w:top w:val="single" w:sz="1" w:space="0" w:color="000000"/>
              <w:bottom w:val="single" w:sz="1" w:space="0" w:color="000000"/>
            </w:tcBorders>
          </w:tcPr>
          <w:p w14:paraId="1F0608FE" w14:textId="77777777" w:rsidR="00684855" w:rsidRDefault="00000000">
            <w:pPr>
              <w:spacing w:line="360" w:lineRule="auto"/>
            </w:pPr>
            <w:r>
              <w:rPr>
                <w:rFonts w:ascii="Helvetica Neue" w:eastAsia="Helvetica Neue" w:hAnsi="Helvetica Neue" w:cs="Helvetica Neue"/>
                <w:color w:val="000000"/>
                <w:sz w:val="17"/>
              </w:rPr>
              <w:t>TB-500</w:t>
            </w:r>
          </w:p>
        </w:tc>
      </w:tr>
      <w:tr w:rsidR="00684855" w14:paraId="24CC1BB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F45923" w14:textId="77777777" w:rsidR="00684855" w:rsidRDefault="00000000">
            <w:pPr>
              <w:spacing w:line="360" w:lineRule="auto"/>
            </w:pPr>
            <w:r>
              <w:rPr>
                <w:rFonts w:ascii="Helvetica Neue" w:eastAsia="Helvetica Neue" w:hAnsi="Helvetica Neue" w:cs="Helvetica Neue"/>
                <w:color w:val="000000"/>
                <w:sz w:val="17"/>
              </w:rPr>
              <w:t>Primary research focus</w:t>
            </w:r>
          </w:p>
        </w:tc>
        <w:tc>
          <w:tcPr>
            <w:tcW w:w="0" w:type="auto"/>
            <w:tcBorders>
              <w:top w:val="single" w:sz="1" w:space="0" w:color="000000"/>
              <w:bottom w:val="single" w:sz="1" w:space="0" w:color="000000"/>
              <w:right w:val="single" w:sz="1" w:space="0" w:color="000000"/>
            </w:tcBorders>
          </w:tcPr>
          <w:p w14:paraId="550C76EB" w14:textId="77777777" w:rsidR="00684855" w:rsidRDefault="00000000">
            <w:pPr>
              <w:spacing w:line="360" w:lineRule="auto"/>
            </w:pPr>
            <w:r>
              <w:rPr>
                <w:rFonts w:ascii="Helvetica Neue" w:eastAsia="Helvetica Neue" w:hAnsi="Helvetica Neue" w:cs="Helvetica Neue"/>
                <w:color w:val="000000"/>
                <w:sz w:val="17"/>
              </w:rPr>
              <w:t xml:space="preserve">Tendon, ligament, GI mucosal repair </w:t>
            </w:r>
            <w:hyperlink w:anchor="fn1">
              <w:r>
                <w:rPr>
                  <w:rFonts w:ascii="Helvetica Neue" w:eastAsia="Helvetica Neue" w:hAnsi="Helvetica Neue" w:cs="Helvetica Neue"/>
                  <w:sz w:val="17"/>
                  <w:u w:val="single"/>
                  <w:vertAlign w:val="superscript"/>
                </w:rPr>
                <w:t>[1]</w:t>
              </w:r>
            </w:hyperlink>
          </w:p>
        </w:tc>
        <w:tc>
          <w:tcPr>
            <w:tcW w:w="0" w:type="auto"/>
            <w:tcBorders>
              <w:top w:val="single" w:sz="1" w:space="0" w:color="000000"/>
              <w:bottom w:val="single" w:sz="1" w:space="0" w:color="000000"/>
            </w:tcBorders>
          </w:tcPr>
          <w:p w14:paraId="5A3B0217" w14:textId="77777777" w:rsidR="00684855" w:rsidRDefault="00000000">
            <w:pPr>
              <w:spacing w:line="360" w:lineRule="auto"/>
            </w:pPr>
            <w:r>
              <w:rPr>
                <w:rFonts w:ascii="Helvetica Neue" w:eastAsia="Helvetica Neue" w:hAnsi="Helvetica Neue" w:cs="Helvetica Neue"/>
                <w:color w:val="000000"/>
                <w:sz w:val="17"/>
              </w:rPr>
              <w:t xml:space="preserve">Cell migration, wound healing, soft-tissue repair </w:t>
            </w:r>
            <w:hyperlink w:anchor="fn2">
              <w:r>
                <w:rPr>
                  <w:rFonts w:ascii="Helvetica Neue" w:eastAsia="Helvetica Neue" w:hAnsi="Helvetica Neue" w:cs="Helvetica Neue"/>
                  <w:sz w:val="17"/>
                  <w:u w:val="single"/>
                  <w:vertAlign w:val="superscript"/>
                </w:rPr>
                <w:t>[2]</w:t>
              </w:r>
            </w:hyperlink>
          </w:p>
        </w:tc>
      </w:tr>
      <w:tr w:rsidR="00684855" w14:paraId="3EF4EE6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4F78B8" w14:textId="77777777" w:rsidR="00684855" w:rsidRDefault="00000000">
            <w:pPr>
              <w:spacing w:line="360" w:lineRule="auto"/>
            </w:pPr>
            <w:r>
              <w:rPr>
                <w:rFonts w:ascii="Helvetica Neue" w:eastAsia="Helvetica Neue" w:hAnsi="Helvetica Neue" w:cs="Helvetica Neue"/>
                <w:color w:val="000000"/>
                <w:sz w:val="17"/>
              </w:rPr>
              <w:t>Main mechanism discussed in literature</w:t>
            </w:r>
          </w:p>
        </w:tc>
        <w:tc>
          <w:tcPr>
            <w:tcW w:w="0" w:type="auto"/>
            <w:tcBorders>
              <w:top w:val="single" w:sz="1" w:space="0" w:color="000000"/>
              <w:bottom w:val="single" w:sz="1" w:space="0" w:color="000000"/>
              <w:right w:val="single" w:sz="1" w:space="0" w:color="000000"/>
            </w:tcBorders>
          </w:tcPr>
          <w:p w14:paraId="14D70AC1" w14:textId="77777777" w:rsidR="00684855" w:rsidRDefault="00000000">
            <w:pPr>
              <w:spacing w:line="360" w:lineRule="auto"/>
            </w:pPr>
            <w:r>
              <w:rPr>
                <w:rFonts w:ascii="Helvetica Neue" w:eastAsia="Helvetica Neue" w:hAnsi="Helvetica Neue" w:cs="Helvetica Neue"/>
                <w:color w:val="000000"/>
                <w:sz w:val="17"/>
              </w:rPr>
              <w:t xml:space="preserve">Cytoprotection, angiogenesis, nitric oxide and growth-factor related signaling </w:t>
            </w:r>
            <w:hyperlink w:anchor="fn1">
              <w:r>
                <w:rPr>
                  <w:rFonts w:ascii="Helvetica Neue" w:eastAsia="Helvetica Neue" w:hAnsi="Helvetica Neue" w:cs="Helvetica Neue"/>
                  <w:sz w:val="17"/>
                  <w:u w:val="single"/>
                  <w:vertAlign w:val="superscript"/>
                </w:rPr>
                <w:t>[1]</w:t>
              </w:r>
            </w:hyperlink>
          </w:p>
        </w:tc>
        <w:tc>
          <w:tcPr>
            <w:tcW w:w="0" w:type="auto"/>
            <w:tcBorders>
              <w:top w:val="single" w:sz="1" w:space="0" w:color="000000"/>
              <w:bottom w:val="single" w:sz="1" w:space="0" w:color="000000"/>
            </w:tcBorders>
          </w:tcPr>
          <w:p w14:paraId="18C454C6" w14:textId="77777777" w:rsidR="00684855" w:rsidRDefault="00000000">
            <w:pPr>
              <w:spacing w:line="360" w:lineRule="auto"/>
            </w:pPr>
            <w:r>
              <w:rPr>
                <w:rFonts w:ascii="Helvetica Neue" w:eastAsia="Helvetica Neue" w:hAnsi="Helvetica Neue" w:cs="Helvetica Neue"/>
                <w:color w:val="000000"/>
                <w:sz w:val="17"/>
              </w:rPr>
              <w:t xml:space="preserve">Actin sequestration, cell motility, wound repair, anti-inflammatory activity </w:t>
            </w:r>
            <w:hyperlink w:anchor="fn2">
              <w:r>
                <w:rPr>
                  <w:rFonts w:ascii="Helvetica Neue" w:eastAsia="Helvetica Neue" w:hAnsi="Helvetica Neue" w:cs="Helvetica Neue"/>
                  <w:sz w:val="17"/>
                  <w:u w:val="single"/>
                  <w:vertAlign w:val="superscript"/>
                </w:rPr>
                <w:t>[2]</w:t>
              </w:r>
            </w:hyperlink>
          </w:p>
        </w:tc>
      </w:tr>
      <w:tr w:rsidR="00684855" w14:paraId="3D1C79D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6B6B71" w14:textId="77777777" w:rsidR="00684855" w:rsidRDefault="00000000">
            <w:pPr>
              <w:spacing w:line="360" w:lineRule="auto"/>
            </w:pPr>
            <w:r>
              <w:rPr>
                <w:rFonts w:ascii="Helvetica Neue" w:eastAsia="Helvetica Neue" w:hAnsi="Helvetica Neue" w:cs="Helvetica Neue"/>
                <w:color w:val="000000"/>
                <w:sz w:val="17"/>
              </w:rPr>
              <w:t>Typical study models</w:t>
            </w:r>
          </w:p>
        </w:tc>
        <w:tc>
          <w:tcPr>
            <w:tcW w:w="0" w:type="auto"/>
            <w:tcBorders>
              <w:top w:val="single" w:sz="1" w:space="0" w:color="000000"/>
              <w:bottom w:val="single" w:sz="1" w:space="0" w:color="000000"/>
              <w:right w:val="single" w:sz="1" w:space="0" w:color="000000"/>
            </w:tcBorders>
          </w:tcPr>
          <w:p w14:paraId="1505AF76" w14:textId="77777777" w:rsidR="00684855" w:rsidRDefault="00000000">
            <w:pPr>
              <w:spacing w:line="360" w:lineRule="auto"/>
            </w:pPr>
            <w:r>
              <w:rPr>
                <w:rFonts w:ascii="Helvetica Neue" w:eastAsia="Helvetica Neue" w:hAnsi="Helvetica Neue" w:cs="Helvetica Neue"/>
                <w:color w:val="000000"/>
                <w:sz w:val="17"/>
              </w:rPr>
              <w:t xml:space="preserve">Muscle, tendon, ligament, gut, cornea </w:t>
            </w:r>
            <w:hyperlink w:anchor="fn1">
              <w:r>
                <w:rPr>
                  <w:rFonts w:ascii="Helvetica Neue" w:eastAsia="Helvetica Neue" w:hAnsi="Helvetica Neue" w:cs="Helvetica Neue"/>
                  <w:sz w:val="17"/>
                  <w:u w:val="single"/>
                  <w:vertAlign w:val="superscript"/>
                </w:rPr>
                <w:t>[1]</w:t>
              </w:r>
            </w:hyperlink>
          </w:p>
        </w:tc>
        <w:tc>
          <w:tcPr>
            <w:tcW w:w="0" w:type="auto"/>
            <w:tcBorders>
              <w:top w:val="single" w:sz="1" w:space="0" w:color="000000"/>
              <w:bottom w:val="single" w:sz="1" w:space="0" w:color="000000"/>
            </w:tcBorders>
          </w:tcPr>
          <w:p w14:paraId="1628FA71" w14:textId="77777777" w:rsidR="00684855" w:rsidRDefault="00000000">
            <w:pPr>
              <w:spacing w:line="360" w:lineRule="auto"/>
            </w:pPr>
            <w:r>
              <w:rPr>
                <w:rFonts w:ascii="Helvetica Neue" w:eastAsia="Helvetica Neue" w:hAnsi="Helvetica Neue" w:cs="Helvetica Neue"/>
                <w:color w:val="000000"/>
                <w:sz w:val="17"/>
              </w:rPr>
              <w:t xml:space="preserve">Skin, muscle, tendon, cornea, wound-healing models </w:t>
            </w:r>
            <w:hyperlink w:anchor="fn2">
              <w:r>
                <w:rPr>
                  <w:rFonts w:ascii="Helvetica Neue" w:eastAsia="Helvetica Neue" w:hAnsi="Helvetica Neue" w:cs="Helvetica Neue"/>
                  <w:sz w:val="17"/>
                  <w:u w:val="single"/>
                  <w:vertAlign w:val="superscript"/>
                </w:rPr>
                <w:t>[2]</w:t>
              </w:r>
            </w:hyperlink>
          </w:p>
        </w:tc>
      </w:tr>
      <w:tr w:rsidR="00684855" w14:paraId="4A6D7D3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7B4789" w14:textId="77777777" w:rsidR="00684855" w:rsidRDefault="00000000">
            <w:pPr>
              <w:spacing w:line="360" w:lineRule="auto"/>
            </w:pPr>
            <w:r>
              <w:rPr>
                <w:rFonts w:ascii="Helvetica Neue" w:eastAsia="Helvetica Neue" w:hAnsi="Helvetica Neue" w:cs="Helvetica Neue"/>
                <w:color w:val="000000"/>
                <w:sz w:val="17"/>
              </w:rPr>
              <w:t>Human evidence</w:t>
            </w:r>
          </w:p>
        </w:tc>
        <w:tc>
          <w:tcPr>
            <w:tcW w:w="0" w:type="auto"/>
            <w:tcBorders>
              <w:top w:val="single" w:sz="1" w:space="0" w:color="000000"/>
              <w:bottom w:val="single" w:sz="1" w:space="0" w:color="000000"/>
              <w:right w:val="single" w:sz="1" w:space="0" w:color="000000"/>
            </w:tcBorders>
          </w:tcPr>
          <w:p w14:paraId="7C74141B" w14:textId="77777777" w:rsidR="00684855" w:rsidRDefault="00000000">
            <w:pPr>
              <w:spacing w:line="360" w:lineRule="auto"/>
            </w:pPr>
            <w:r>
              <w:rPr>
                <w:rFonts w:ascii="Helvetica Neue" w:eastAsia="Helvetica Neue" w:hAnsi="Helvetica Neue" w:cs="Helvetica Neue"/>
                <w:color w:val="000000"/>
                <w:sz w:val="17"/>
              </w:rPr>
              <w:t xml:space="preserve">Very limited </w:t>
            </w:r>
            <w:hyperlink w:anchor="fn1">
              <w:r>
                <w:rPr>
                  <w:rFonts w:ascii="Helvetica Neue" w:eastAsia="Helvetica Neue" w:hAnsi="Helvetica Neue" w:cs="Helvetica Neue"/>
                  <w:sz w:val="17"/>
                  <w:u w:val="single"/>
                  <w:vertAlign w:val="superscript"/>
                </w:rPr>
                <w:t>[1]</w:t>
              </w:r>
            </w:hyperlink>
          </w:p>
        </w:tc>
        <w:tc>
          <w:tcPr>
            <w:tcW w:w="0" w:type="auto"/>
            <w:tcBorders>
              <w:top w:val="single" w:sz="1" w:space="0" w:color="000000"/>
              <w:bottom w:val="single" w:sz="1" w:space="0" w:color="000000"/>
            </w:tcBorders>
          </w:tcPr>
          <w:p w14:paraId="0C3438A3" w14:textId="77777777" w:rsidR="00684855" w:rsidRDefault="00000000">
            <w:pPr>
              <w:spacing w:line="360" w:lineRule="auto"/>
            </w:pPr>
            <w:r>
              <w:rPr>
                <w:rFonts w:ascii="Helvetica Neue" w:eastAsia="Helvetica Neue" w:hAnsi="Helvetica Neue" w:cs="Helvetica Neue"/>
                <w:color w:val="000000"/>
                <w:sz w:val="17"/>
              </w:rPr>
              <w:t xml:space="preserve">Very limited </w:t>
            </w:r>
            <w:hyperlink w:anchor="fn2">
              <w:r>
                <w:rPr>
                  <w:rFonts w:ascii="Helvetica Neue" w:eastAsia="Helvetica Neue" w:hAnsi="Helvetica Neue" w:cs="Helvetica Neue"/>
                  <w:sz w:val="17"/>
                  <w:u w:val="single"/>
                  <w:vertAlign w:val="superscript"/>
                </w:rPr>
                <w:t>[2]</w:t>
              </w:r>
            </w:hyperlink>
          </w:p>
        </w:tc>
      </w:tr>
      <w:tr w:rsidR="00684855" w14:paraId="039588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5686836" w14:textId="77777777" w:rsidR="00684855" w:rsidRDefault="00000000">
            <w:pPr>
              <w:spacing w:line="360" w:lineRule="auto"/>
            </w:pPr>
            <w:r>
              <w:rPr>
                <w:rFonts w:ascii="Helvetica Neue" w:eastAsia="Helvetica Neue" w:hAnsi="Helvetica Neue" w:cs="Helvetica Neue"/>
                <w:color w:val="000000"/>
                <w:sz w:val="17"/>
              </w:rPr>
              <w:t>Status</w:t>
            </w:r>
          </w:p>
        </w:tc>
        <w:tc>
          <w:tcPr>
            <w:tcW w:w="0" w:type="auto"/>
            <w:tcBorders>
              <w:top w:val="single" w:sz="1" w:space="0" w:color="000000"/>
              <w:bottom w:val="single" w:sz="1" w:space="0" w:color="000000"/>
              <w:right w:val="single" w:sz="1" w:space="0" w:color="000000"/>
            </w:tcBorders>
          </w:tcPr>
          <w:p w14:paraId="7172CE49" w14:textId="77777777" w:rsidR="00684855" w:rsidRDefault="00000000">
            <w:pPr>
              <w:spacing w:line="360" w:lineRule="auto"/>
            </w:pPr>
            <w:r>
              <w:rPr>
                <w:rFonts w:ascii="Helvetica Neue" w:eastAsia="Helvetica Neue" w:hAnsi="Helvetica Neue" w:cs="Helvetica Neue"/>
                <w:color w:val="000000"/>
                <w:sz w:val="17"/>
              </w:rPr>
              <w:t xml:space="preserve">Research-use only / not approved for routine human use </w:t>
            </w:r>
            <w:hyperlink w:anchor="fn1">
              <w:r>
                <w:rPr>
                  <w:rFonts w:ascii="Helvetica Neue" w:eastAsia="Helvetica Neue" w:hAnsi="Helvetica Neue" w:cs="Helvetica Neue"/>
                  <w:sz w:val="17"/>
                  <w:u w:val="single"/>
                  <w:vertAlign w:val="superscript"/>
                </w:rPr>
                <w:t>[1]</w:t>
              </w:r>
            </w:hyperlink>
          </w:p>
        </w:tc>
        <w:tc>
          <w:tcPr>
            <w:tcW w:w="0" w:type="auto"/>
            <w:tcBorders>
              <w:top w:val="single" w:sz="1" w:space="0" w:color="000000"/>
              <w:bottom w:val="single" w:sz="1" w:space="0" w:color="000000"/>
            </w:tcBorders>
          </w:tcPr>
          <w:p w14:paraId="5C60AB39" w14:textId="77777777" w:rsidR="00684855" w:rsidRDefault="00000000">
            <w:pPr>
              <w:spacing w:line="360" w:lineRule="auto"/>
            </w:pPr>
            <w:r>
              <w:rPr>
                <w:rFonts w:ascii="Helvetica Neue" w:eastAsia="Helvetica Neue" w:hAnsi="Helvetica Neue" w:cs="Helvetica Neue"/>
                <w:color w:val="000000"/>
                <w:sz w:val="17"/>
              </w:rPr>
              <w:t xml:space="preserve">Research-use only / not established as a therapy </w:t>
            </w:r>
            <w:hyperlink w:anchor="fn2">
              <w:r>
                <w:rPr>
                  <w:rFonts w:ascii="Helvetica Neue" w:eastAsia="Helvetica Neue" w:hAnsi="Helvetica Neue" w:cs="Helvetica Neue"/>
                  <w:sz w:val="17"/>
                  <w:u w:val="single"/>
                  <w:vertAlign w:val="superscript"/>
                </w:rPr>
                <w:t>[2]</w:t>
              </w:r>
            </w:hyperlink>
          </w:p>
        </w:tc>
      </w:tr>
    </w:tbl>
    <w:p w14:paraId="1A9C5B42" w14:textId="77777777" w:rsidR="00684855" w:rsidRDefault="00684855"/>
    <w:p w14:paraId="7B65AACB" w14:textId="77777777" w:rsidR="00684855" w:rsidRDefault="00000000">
      <w:pPr>
        <w:spacing w:before="315" w:after="105" w:line="360" w:lineRule="auto"/>
        <w:ind w:left="-30"/>
      </w:pPr>
      <w:bookmarkStart w:id="13" w:name="best_wording_change"/>
      <w:r>
        <w:rPr>
          <w:rFonts w:eastAsia="Georgia" w:hAnsi="Georgia" w:cs="Georgia"/>
          <w:b/>
          <w:color w:val="000000"/>
          <w:sz w:val="24"/>
        </w:rPr>
        <w:t>Best wording change</w:t>
      </w:r>
      <w:bookmarkEnd w:id="13"/>
    </w:p>
    <w:p w14:paraId="06563A51" w14:textId="77777777" w:rsidR="00684855" w:rsidRDefault="00000000">
      <w:pPr>
        <w:spacing w:after="210" w:line="360" w:lineRule="auto"/>
      </w:pPr>
      <w:r>
        <w:rPr>
          <w:rFonts w:eastAsia="Georgia" w:hAnsi="Georgia" w:cs="Georgia"/>
          <w:color w:val="000000"/>
        </w:rPr>
        <w:lastRenderedPageBreak/>
        <w:t xml:space="preserve">Instead of “Which peptide is better,” a safer and more professional title is: </w:t>
      </w:r>
      <w:r>
        <w:rPr>
          <w:rFonts w:eastAsia="Georgia" w:hAnsi="Georgia" w:cs="Georgia"/>
          <w:b/>
          <w:color w:val="000000"/>
        </w:rPr>
        <w:t>“BPC-157 vs TB-500: A 2026 Research Comparison for Tissue Repair”</w:t>
      </w:r>
      <w:r>
        <w:rPr>
          <w:rFonts w:eastAsia="Georgia" w:hAnsi="Georgia" w:cs="Georgia"/>
          <w:color w:val="000000"/>
        </w:rPr>
        <w:t>. That wording avoids implying a clinical winner and stays aligned with the evidence base, which is mostly preclinical.</w:t>
      </w:r>
      <w:bookmarkStart w:id="14" w:name="fnref1_9"/>
      <w:bookmarkEnd w:id="14"/>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15" w:name="fnref2_9"/>
      <w:bookmarkEnd w:id="15"/>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3507DF9D" w14:textId="77777777" w:rsidR="00684855" w:rsidRDefault="00000000">
      <w:pPr>
        <w:spacing w:before="315" w:after="105" w:line="360" w:lineRule="auto"/>
        <w:ind w:left="-30"/>
      </w:pPr>
      <w:bookmarkStart w:id="16" w:name="ready_to_publish_intro"/>
      <w:r>
        <w:rPr>
          <w:rFonts w:eastAsia="Georgia" w:hAnsi="Georgia" w:cs="Georgia"/>
          <w:b/>
          <w:color w:val="000000"/>
          <w:sz w:val="24"/>
        </w:rPr>
        <w:t>Ready-to-publish intro</w:t>
      </w:r>
      <w:bookmarkEnd w:id="16"/>
    </w:p>
    <w:p w14:paraId="0A1A47A1" w14:textId="77777777" w:rsidR="00684855" w:rsidRDefault="00000000">
      <w:pPr>
        <w:spacing w:after="210" w:line="360" w:lineRule="auto"/>
      </w:pPr>
      <w:r>
        <w:rPr>
          <w:rFonts w:eastAsia="Georgia" w:hAnsi="Georgia" w:cs="Georgia"/>
          <w:color w:val="000000"/>
        </w:rPr>
        <w:t>Here is a cleaner opening you can use:</w:t>
      </w:r>
    </w:p>
    <w:p w14:paraId="2D3AAACE" w14:textId="77777777" w:rsidR="00684855" w:rsidRDefault="00000000">
      <w:pPr>
        <w:spacing w:after="210" w:line="360" w:lineRule="auto"/>
      </w:pPr>
      <w:r>
        <w:rPr>
          <w:rFonts w:eastAsia="Georgia" w:hAnsi="Georgia" w:cs="Georgia"/>
          <w:color w:val="000000"/>
        </w:rPr>
        <w:t>“One of the most active areas of peptide research is tissue repair and recovery. Two compounds often compared in this context are BPC-157 and TB-500, both of which are studied in preclinical models for their potential effects on healing, inflammation, angiogenesis, and tissue remodeling. This article compares the two from a research perspective only and does not make any medical or therapeutic claims.”</w:t>
      </w:r>
    </w:p>
    <w:p w14:paraId="3EB766F8" w14:textId="77777777" w:rsidR="00684855" w:rsidRDefault="00000000">
      <w:pPr>
        <w:spacing w:after="210" w:line="360" w:lineRule="auto"/>
      </w:pPr>
      <w:r>
        <w:rPr>
          <w:rFonts w:eastAsia="Georgia" w:hAnsi="Georgia" w:cs="Georgia"/>
          <w:color w:val="000000"/>
        </w:rPr>
        <w:t>That version is concise, professional, and safer for a research-use-only page.</w:t>
      </w:r>
      <w:bookmarkStart w:id="17" w:name="fnref1_10"/>
      <w:bookmarkEnd w:id="17"/>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18" w:name="fnref2_10"/>
      <w:bookmarkEnd w:id="18"/>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1CF61289" w14:textId="77777777" w:rsidR="00684855" w:rsidRDefault="00000000">
      <w:pPr>
        <w:spacing w:after="210" w:line="360" w:lineRule="auto"/>
      </w:pPr>
      <w:r>
        <w:rPr>
          <w:rFonts w:eastAsia="Georgia" w:hAnsi="Georgia" w:cs="Georgia"/>
          <w:color w:val="000000"/>
        </w:rPr>
        <w:t>Would you like me to turn this into a full SEO blog post with headings, meta description, and a polished comparison table?</w:t>
      </w:r>
      <w:r>
        <w:rPr>
          <w:rFonts w:eastAsia="Georgia" w:hAnsi="Georgia" w:cs="Georgia"/>
          <w:color w:val="000000"/>
        </w:rPr>
        <w:br/>
      </w:r>
    </w:p>
    <w:p w14:paraId="2731CE77" w14:textId="77777777" w:rsidR="00684855" w:rsidRDefault="00000000">
      <w:pPr>
        <w:spacing w:line="360" w:lineRule="auto"/>
      </w:pPr>
      <w:r>
        <w:rPr>
          <w:rFonts w:eastAsia="Georgia" w:hAnsi="Georgia" w:cs="Georgia"/>
          <w:color w:val="000000"/>
        </w:rPr>
        <w:t>⁂</w:t>
      </w:r>
    </w:p>
    <w:p w14:paraId="3CCA63A7" w14:textId="77777777" w:rsidR="00684855" w:rsidRDefault="000F19D0">
      <w:pPr>
        <w:spacing w:before="210" w:after="0" w:line="360" w:lineRule="auto"/>
      </w:pPr>
      <w:r>
        <w:rPr>
          <w:noProof/>
        </w:rPr>
      </w:r>
      <w:r>
        <w:rPr>
          <w:noProof/>
        </w:rPr>
        <w:pict w14:anchorId="30550871">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B5DCEE4" w14:textId="77777777" w:rsidR="00684855" w:rsidRDefault="00000000">
      <w:pPr>
        <w:numPr>
          <w:ilvl w:val="0"/>
          <w:numId w:val="4"/>
        </w:numPr>
        <w:spacing w:after="210" w:line="360" w:lineRule="auto"/>
      </w:pPr>
      <w:bookmarkStart w:id="19" w:name="fn1"/>
      <w:bookmarkEnd w:id="19"/>
      <w:r>
        <w:rPr>
          <w:rFonts w:eastAsia="Georgia" w:hAnsi="Georgia" w:cs="Georgia"/>
          <w:color w:val="000000"/>
          <w:sz w:val="18"/>
        </w:rPr>
        <w:t xml:space="preserve">Screenshot-2026-05-04-at-4.37.54-PM.jpg           </w:t>
      </w:r>
    </w:p>
    <w:p w14:paraId="18D6D6C6" w14:textId="77777777" w:rsidR="00684855" w:rsidRDefault="00000000">
      <w:pPr>
        <w:numPr>
          <w:ilvl w:val="0"/>
          <w:numId w:val="4"/>
        </w:numPr>
        <w:spacing w:after="210" w:line="360" w:lineRule="auto"/>
      </w:pPr>
      <w:bookmarkStart w:id="20" w:name="fn2"/>
      <w:bookmarkEnd w:id="20"/>
      <w:r>
        <w:rPr>
          <w:rFonts w:eastAsia="Georgia" w:hAnsi="Georgia" w:cs="Georgia"/>
          <w:color w:val="000000"/>
          <w:sz w:val="18"/>
        </w:rPr>
        <w:t xml:space="preserve">Screenshot-2026-05-04-at-4.38.02-PM.jpg           </w:t>
      </w:r>
    </w:p>
    <w:bookmarkStart w:id="21" w:name="fn3"/>
    <w:bookmarkEnd w:id="21"/>
    <w:p w14:paraId="04FA2A86" w14:textId="77777777" w:rsidR="00684855" w:rsidRDefault="00000000">
      <w:pPr>
        <w:numPr>
          <w:ilvl w:val="0"/>
          <w:numId w:val="4"/>
        </w:numPr>
        <w:spacing w:after="210" w:line="360" w:lineRule="auto"/>
      </w:pPr>
      <w:r>
        <w:fldChar w:fldCharType="begin"/>
      </w:r>
      <w:r>
        <w:instrText>HYPERLINK "https://peptiq.io/blog/bpc157-systematic-review-36-studies-2026" \h</w:instrText>
      </w:r>
      <w:r>
        <w:fldChar w:fldCharType="separate"/>
      </w:r>
      <w:r>
        <w:rPr>
          <w:rFonts w:ascii="Helvetica Neue" w:eastAsia="Helvetica Neue" w:hAnsi="Helvetica Neue" w:cs="Helvetica Neue"/>
          <w:sz w:val="18"/>
          <w:u w:val="single"/>
        </w:rPr>
        <w:t>https://peptiq.io/blog/bpc157-systematic-review-36-studies-2026</w:t>
      </w:r>
      <w:r>
        <w:fldChar w:fldCharType="end"/>
      </w:r>
      <w:r>
        <w:rPr>
          <w:rFonts w:eastAsia="Georgia" w:hAnsi="Georgia" w:cs="Georgia"/>
          <w:color w:val="000000"/>
          <w:sz w:val="18"/>
        </w:rPr>
        <w:t xml:space="preserve"> </w:t>
      </w:r>
    </w:p>
    <w:bookmarkStart w:id="22" w:name="fn4"/>
    <w:bookmarkEnd w:id="22"/>
    <w:p w14:paraId="0C3DF9D3" w14:textId="77777777" w:rsidR="00684855" w:rsidRDefault="00000000">
      <w:pPr>
        <w:numPr>
          <w:ilvl w:val="0"/>
          <w:numId w:val="4"/>
        </w:numPr>
        <w:spacing w:after="210" w:line="360" w:lineRule="auto"/>
      </w:pPr>
      <w:r>
        <w:fldChar w:fldCharType="begin"/>
      </w:r>
      <w:r>
        <w:instrText>HYPERLINK "https://northpeptide.com/recent-research/tb-500-research-guide" \h</w:instrText>
      </w:r>
      <w:r>
        <w:fldChar w:fldCharType="separate"/>
      </w:r>
      <w:r>
        <w:rPr>
          <w:rFonts w:ascii="Helvetica Neue" w:eastAsia="Helvetica Neue" w:hAnsi="Helvetica Neue" w:cs="Helvetica Neue"/>
          <w:sz w:val="18"/>
          <w:u w:val="single"/>
        </w:rPr>
        <w:t>https://northpeptide.com/recent-research/tb-500-research-guide</w:t>
      </w:r>
      <w:r>
        <w:fldChar w:fldCharType="end"/>
      </w:r>
      <w:r>
        <w:rPr>
          <w:rFonts w:eastAsia="Georgia" w:hAnsi="Georgia" w:cs="Georgia"/>
          <w:color w:val="000000"/>
          <w:sz w:val="18"/>
        </w:rPr>
        <w:t xml:space="preserve"> </w:t>
      </w:r>
    </w:p>
    <w:bookmarkStart w:id="23" w:name="fn5"/>
    <w:bookmarkEnd w:id="23"/>
    <w:p w14:paraId="40A5CE65" w14:textId="77777777" w:rsidR="00684855" w:rsidRDefault="00000000">
      <w:pPr>
        <w:numPr>
          <w:ilvl w:val="0"/>
          <w:numId w:val="4"/>
        </w:numPr>
        <w:spacing w:after="210" w:line="360" w:lineRule="auto"/>
      </w:pPr>
      <w:r>
        <w:fldChar w:fldCharType="begin"/>
      </w:r>
      <w:r>
        <w:instrText>HYPERLINK "https://www.yahoo.com/news/articles/us-fda-expected-lift-restriction-142639627.html" \h</w:instrText>
      </w:r>
      <w:r>
        <w:fldChar w:fldCharType="separate"/>
      </w:r>
      <w:r>
        <w:rPr>
          <w:rFonts w:ascii="Helvetica Neue" w:eastAsia="Helvetica Neue" w:hAnsi="Helvetica Neue" w:cs="Helvetica Neue"/>
          <w:sz w:val="18"/>
          <w:u w:val="single"/>
        </w:rPr>
        <w:t>https://www.yahoo.com/news/articles/us-fda-expected-lift-restriction-142639627.html</w:t>
      </w:r>
      <w:r>
        <w:fldChar w:fldCharType="end"/>
      </w:r>
      <w:r>
        <w:rPr>
          <w:rFonts w:eastAsia="Georgia" w:hAnsi="Georgia" w:cs="Georgia"/>
          <w:color w:val="000000"/>
          <w:sz w:val="18"/>
        </w:rPr>
        <w:t xml:space="preserve"> </w:t>
      </w:r>
    </w:p>
    <w:bookmarkStart w:id="24" w:name="fn6"/>
    <w:bookmarkEnd w:id="24"/>
    <w:p w14:paraId="33EBE21E" w14:textId="77777777" w:rsidR="00684855" w:rsidRDefault="00000000">
      <w:pPr>
        <w:numPr>
          <w:ilvl w:val="0"/>
          <w:numId w:val="4"/>
        </w:numPr>
        <w:spacing w:after="210" w:line="360" w:lineRule="auto"/>
      </w:pPr>
      <w:r>
        <w:fldChar w:fldCharType="begin"/>
      </w:r>
      <w:r>
        <w:instrText>HYPERLINK "https://concordiadigital.org/posts/bpc-157-pillar/" \h</w:instrText>
      </w:r>
      <w:r>
        <w:fldChar w:fldCharType="separate"/>
      </w:r>
      <w:r>
        <w:rPr>
          <w:rFonts w:ascii="Helvetica Neue" w:eastAsia="Helvetica Neue" w:hAnsi="Helvetica Neue" w:cs="Helvetica Neue"/>
          <w:sz w:val="18"/>
          <w:u w:val="single"/>
        </w:rPr>
        <w:t>https://concordiadigital.org/posts/bpc-157-pillar/</w:t>
      </w:r>
      <w:r>
        <w:fldChar w:fldCharType="end"/>
      </w:r>
      <w:r>
        <w:rPr>
          <w:rFonts w:eastAsia="Georgia" w:hAnsi="Georgia" w:cs="Georgia"/>
          <w:color w:val="000000"/>
          <w:sz w:val="18"/>
        </w:rPr>
        <w:t xml:space="preserve"> </w:t>
      </w:r>
    </w:p>
    <w:bookmarkStart w:id="25" w:name="fn7"/>
    <w:bookmarkEnd w:id="25"/>
    <w:p w14:paraId="7B4E622D" w14:textId="77777777" w:rsidR="00684855" w:rsidRDefault="00000000">
      <w:pPr>
        <w:numPr>
          <w:ilvl w:val="0"/>
          <w:numId w:val="4"/>
        </w:numPr>
        <w:spacing w:after="210" w:line="360" w:lineRule="auto"/>
      </w:pPr>
      <w:r>
        <w:fldChar w:fldCharType="begin"/>
      </w:r>
      <w:r>
        <w:instrText>HYPERLINK "https://bllpeptides.com/tb-500-thymosin-beta-4-research/" \h</w:instrText>
      </w:r>
      <w:r>
        <w:fldChar w:fldCharType="separate"/>
      </w:r>
      <w:r>
        <w:rPr>
          <w:rFonts w:ascii="Helvetica Neue" w:eastAsia="Helvetica Neue" w:hAnsi="Helvetica Neue" w:cs="Helvetica Neue"/>
          <w:sz w:val="18"/>
          <w:u w:val="single"/>
        </w:rPr>
        <w:t>https://bllpeptides.com/tb-500-thymosin-beta-4-research/</w:t>
      </w:r>
      <w:r>
        <w:fldChar w:fldCharType="end"/>
      </w:r>
      <w:r>
        <w:rPr>
          <w:rFonts w:eastAsia="Georgia" w:hAnsi="Georgia" w:cs="Georgia"/>
          <w:color w:val="000000"/>
          <w:sz w:val="18"/>
        </w:rPr>
        <w:t xml:space="preserve"> </w:t>
      </w:r>
    </w:p>
    <w:bookmarkStart w:id="26" w:name="fn8"/>
    <w:bookmarkEnd w:id="26"/>
    <w:p w14:paraId="09194AEB" w14:textId="77777777" w:rsidR="00684855" w:rsidRDefault="00000000">
      <w:pPr>
        <w:numPr>
          <w:ilvl w:val="0"/>
          <w:numId w:val="4"/>
        </w:numPr>
        <w:spacing w:after="210" w:line="360" w:lineRule="auto"/>
      </w:pPr>
      <w:r>
        <w:fldChar w:fldCharType="begin"/>
      </w:r>
      <w:r>
        <w:instrText>HYPERLINK "https://peptidenewsdigest.org/digest/2026-04-01/" \h</w:instrText>
      </w:r>
      <w:r>
        <w:fldChar w:fldCharType="separate"/>
      </w:r>
      <w:r>
        <w:rPr>
          <w:rFonts w:ascii="Helvetica Neue" w:eastAsia="Helvetica Neue" w:hAnsi="Helvetica Neue" w:cs="Helvetica Neue"/>
          <w:sz w:val="18"/>
          <w:u w:val="single"/>
        </w:rPr>
        <w:t>https://peptidenewsdigest.org/digest/2026-04-01/</w:t>
      </w:r>
      <w:r>
        <w:fldChar w:fldCharType="end"/>
      </w:r>
      <w:r>
        <w:rPr>
          <w:rFonts w:eastAsia="Georgia" w:hAnsi="Georgia" w:cs="Georgia"/>
          <w:color w:val="000000"/>
          <w:sz w:val="18"/>
        </w:rPr>
        <w:t xml:space="preserve"> </w:t>
      </w:r>
    </w:p>
    <w:bookmarkStart w:id="27" w:name="fn9"/>
    <w:bookmarkEnd w:id="27"/>
    <w:p w14:paraId="2A5BC282" w14:textId="77777777" w:rsidR="00684855" w:rsidRDefault="00000000">
      <w:pPr>
        <w:numPr>
          <w:ilvl w:val="0"/>
          <w:numId w:val="4"/>
        </w:numPr>
        <w:spacing w:after="210" w:line="360" w:lineRule="auto"/>
      </w:pPr>
      <w:r>
        <w:fldChar w:fldCharType="begin"/>
      </w:r>
      <w:r>
        <w:instrText>HYPERLINK "https://peptidings.com/peptides/bpc-157/" \h</w:instrText>
      </w:r>
      <w:r>
        <w:fldChar w:fldCharType="separate"/>
      </w:r>
      <w:r>
        <w:rPr>
          <w:rFonts w:ascii="Helvetica Neue" w:eastAsia="Helvetica Neue" w:hAnsi="Helvetica Neue" w:cs="Helvetica Neue"/>
          <w:sz w:val="18"/>
          <w:u w:val="single"/>
        </w:rPr>
        <w:t>https://peptidings.com/peptides/bpc-157/</w:t>
      </w:r>
      <w:r>
        <w:fldChar w:fldCharType="end"/>
      </w:r>
      <w:r>
        <w:rPr>
          <w:rFonts w:eastAsia="Georgia" w:hAnsi="Georgia" w:cs="Georgia"/>
          <w:color w:val="000000"/>
          <w:sz w:val="18"/>
        </w:rPr>
        <w:t xml:space="preserve"> </w:t>
      </w:r>
    </w:p>
    <w:bookmarkStart w:id="28" w:name="fn10"/>
    <w:bookmarkEnd w:id="28"/>
    <w:p w14:paraId="1D41C45A" w14:textId="77777777" w:rsidR="00684855" w:rsidRDefault="00000000">
      <w:pPr>
        <w:numPr>
          <w:ilvl w:val="0"/>
          <w:numId w:val="4"/>
        </w:numPr>
        <w:spacing w:after="210" w:line="360" w:lineRule="auto"/>
      </w:pPr>
      <w:r>
        <w:fldChar w:fldCharType="begin"/>
      </w:r>
      <w:r>
        <w:instrText>HYPERLINK "https://luminpeptides.com/tb-500-peptide-research-a-look-at-thymosin-beta-4-and-tissue-regeneration/" \h</w:instrText>
      </w:r>
      <w:r>
        <w:fldChar w:fldCharType="separate"/>
      </w:r>
      <w:r>
        <w:rPr>
          <w:rFonts w:ascii="Helvetica Neue" w:eastAsia="Helvetica Neue" w:hAnsi="Helvetica Neue" w:cs="Helvetica Neue"/>
          <w:sz w:val="18"/>
          <w:u w:val="single"/>
        </w:rPr>
        <w:t>https://luminpeptides.com/tb-500-peptide-research-a-look-at-thymosin-beta-4-and-tissue-regeneration/</w:t>
      </w:r>
      <w:r>
        <w:fldChar w:fldCharType="end"/>
      </w:r>
      <w:r>
        <w:rPr>
          <w:rFonts w:eastAsia="Georgia" w:hAnsi="Georgia" w:cs="Georgia"/>
          <w:color w:val="000000"/>
          <w:sz w:val="18"/>
        </w:rPr>
        <w:t xml:space="preserve"> </w:t>
      </w:r>
    </w:p>
    <w:bookmarkStart w:id="29" w:name="fn11"/>
    <w:bookmarkEnd w:id="29"/>
    <w:p w14:paraId="7F168356" w14:textId="77777777" w:rsidR="00684855" w:rsidRDefault="00000000">
      <w:pPr>
        <w:numPr>
          <w:ilvl w:val="0"/>
          <w:numId w:val="4"/>
        </w:numPr>
        <w:spacing w:after="210" w:line="360" w:lineRule="auto"/>
      </w:pPr>
      <w:r>
        <w:fldChar w:fldCharType="begin"/>
      </w:r>
      <w:r>
        <w:instrText>HYPERLINK "https://pmc.ncbi.nlm.nih.gov/articles/PMC12446177/" \h</w:instrText>
      </w:r>
      <w:r>
        <w:fldChar w:fldCharType="separate"/>
      </w:r>
      <w:r>
        <w:rPr>
          <w:rFonts w:ascii="Helvetica Neue" w:eastAsia="Helvetica Neue" w:hAnsi="Helvetica Neue" w:cs="Helvetica Neue"/>
          <w:sz w:val="18"/>
          <w:u w:val="single"/>
        </w:rPr>
        <w:t>https://pmc.ncbi.nlm.nih.gov/articles/PMC12446177/</w:t>
      </w:r>
      <w:r>
        <w:fldChar w:fldCharType="end"/>
      </w:r>
      <w:r>
        <w:rPr>
          <w:rFonts w:eastAsia="Georgia" w:hAnsi="Georgia" w:cs="Georgia"/>
          <w:color w:val="000000"/>
          <w:sz w:val="18"/>
        </w:rPr>
        <w:t xml:space="preserve"> </w:t>
      </w:r>
    </w:p>
    <w:bookmarkStart w:id="30" w:name="fn12"/>
    <w:bookmarkEnd w:id="30"/>
    <w:p w14:paraId="1DB987DC" w14:textId="77777777" w:rsidR="00684855" w:rsidRDefault="00000000">
      <w:pPr>
        <w:numPr>
          <w:ilvl w:val="0"/>
          <w:numId w:val="4"/>
        </w:numPr>
        <w:spacing w:after="210" w:line="360" w:lineRule="auto"/>
      </w:pPr>
      <w:r>
        <w:lastRenderedPageBreak/>
        <w:fldChar w:fldCharType="begin"/>
      </w:r>
      <w:r>
        <w:instrText>HYPERLINK "https://www.peptideledger.com/blog/bpc-157-research-2025" \h</w:instrText>
      </w:r>
      <w:r>
        <w:fldChar w:fldCharType="separate"/>
      </w:r>
      <w:r>
        <w:rPr>
          <w:rFonts w:ascii="Helvetica Neue" w:eastAsia="Helvetica Neue" w:hAnsi="Helvetica Neue" w:cs="Helvetica Neue"/>
          <w:sz w:val="18"/>
          <w:u w:val="single"/>
        </w:rPr>
        <w:t>https://www.peptideledger.com/blog/bpc-157-research-2025</w:t>
      </w:r>
      <w:r>
        <w:fldChar w:fldCharType="end"/>
      </w:r>
      <w:r>
        <w:rPr>
          <w:rFonts w:eastAsia="Georgia" w:hAnsi="Georgia" w:cs="Georgia"/>
          <w:color w:val="000000"/>
          <w:sz w:val="18"/>
        </w:rPr>
        <w:t xml:space="preserve"> </w:t>
      </w:r>
    </w:p>
    <w:bookmarkStart w:id="31" w:name="fn13"/>
    <w:bookmarkEnd w:id="31"/>
    <w:p w14:paraId="719DC215" w14:textId="77777777" w:rsidR="00684855" w:rsidRDefault="00000000">
      <w:pPr>
        <w:numPr>
          <w:ilvl w:val="0"/>
          <w:numId w:val="4"/>
        </w:numPr>
        <w:spacing w:after="210" w:line="360" w:lineRule="auto"/>
      </w:pPr>
      <w:r>
        <w:fldChar w:fldCharType="begin"/>
      </w:r>
      <w:r>
        <w:instrText>HYPERLINK "https://pmc.ncbi.nlm.nih.gov/articles/PMC12313605/" \h</w:instrText>
      </w:r>
      <w:r>
        <w:fldChar w:fldCharType="separate"/>
      </w:r>
      <w:r>
        <w:rPr>
          <w:rFonts w:ascii="Helvetica Neue" w:eastAsia="Helvetica Neue" w:hAnsi="Helvetica Neue" w:cs="Helvetica Neue"/>
          <w:sz w:val="18"/>
          <w:u w:val="single"/>
        </w:rPr>
        <w:t>https://pmc.ncbi.nlm.nih.gov/articles/PMC12313605/</w:t>
      </w:r>
      <w:r>
        <w:fldChar w:fldCharType="end"/>
      </w:r>
      <w:r>
        <w:rPr>
          <w:rFonts w:eastAsia="Georgia" w:hAnsi="Georgia" w:cs="Georgia"/>
          <w:color w:val="000000"/>
          <w:sz w:val="18"/>
        </w:rPr>
        <w:t xml:space="preserve"> </w:t>
      </w:r>
    </w:p>
    <w:bookmarkStart w:id="32" w:name="fn14"/>
    <w:bookmarkEnd w:id="32"/>
    <w:p w14:paraId="4C2BA48D" w14:textId="77777777" w:rsidR="00684855" w:rsidRDefault="00000000">
      <w:pPr>
        <w:numPr>
          <w:ilvl w:val="0"/>
          <w:numId w:val="4"/>
        </w:numPr>
        <w:spacing w:after="210" w:line="360" w:lineRule="auto"/>
      </w:pPr>
      <w:r>
        <w:fldChar w:fldCharType="begin"/>
      </w:r>
      <w:r>
        <w:instrText>HYPERLINK "https://slim2well.com/bpc-157-research/" \h</w:instrText>
      </w:r>
      <w:r>
        <w:fldChar w:fldCharType="separate"/>
      </w:r>
      <w:r>
        <w:rPr>
          <w:rFonts w:ascii="Helvetica Neue" w:eastAsia="Helvetica Neue" w:hAnsi="Helvetica Neue" w:cs="Helvetica Neue"/>
          <w:sz w:val="18"/>
          <w:u w:val="single"/>
        </w:rPr>
        <w:t>https://slim2well.com/bpc-157-research/</w:t>
      </w:r>
      <w:r>
        <w:fldChar w:fldCharType="end"/>
      </w:r>
      <w:r>
        <w:rPr>
          <w:rFonts w:eastAsia="Georgia" w:hAnsi="Georgia" w:cs="Georgia"/>
          <w:color w:val="000000"/>
          <w:sz w:val="18"/>
        </w:rPr>
        <w:t xml:space="preserve"> </w:t>
      </w:r>
    </w:p>
    <w:bookmarkStart w:id="33" w:name="fn15"/>
    <w:bookmarkEnd w:id="33"/>
    <w:p w14:paraId="4154980E" w14:textId="77777777" w:rsidR="00684855" w:rsidRDefault="00000000">
      <w:pPr>
        <w:numPr>
          <w:ilvl w:val="0"/>
          <w:numId w:val="4"/>
        </w:numPr>
        <w:spacing w:after="210" w:line="360" w:lineRule="auto"/>
      </w:pPr>
      <w:r>
        <w:fldChar w:fldCharType="begin"/>
      </w:r>
      <w:r>
        <w:instrText>HYPERLINK "https://www.realpeptides.co/bpc-157-review-2026/" \h</w:instrText>
      </w:r>
      <w:r>
        <w:fldChar w:fldCharType="separate"/>
      </w:r>
      <w:r>
        <w:rPr>
          <w:rFonts w:ascii="Helvetica Neue" w:eastAsia="Helvetica Neue" w:hAnsi="Helvetica Neue" w:cs="Helvetica Neue"/>
          <w:sz w:val="18"/>
          <w:u w:val="single"/>
        </w:rPr>
        <w:t>https://www.realpeptides.co/bpc-157-review-2026/</w:t>
      </w:r>
      <w:r>
        <w:fldChar w:fldCharType="end"/>
      </w:r>
      <w:r>
        <w:rPr>
          <w:rFonts w:eastAsia="Georgia" w:hAnsi="Georgia" w:cs="Georgia"/>
          <w:color w:val="000000"/>
          <w:sz w:val="18"/>
        </w:rPr>
        <w:t xml:space="preserve"> </w:t>
      </w:r>
    </w:p>
    <w:bookmarkStart w:id="34" w:name="fn16"/>
    <w:bookmarkEnd w:id="34"/>
    <w:p w14:paraId="655A1AF7" w14:textId="77777777" w:rsidR="00684855" w:rsidRDefault="00000000">
      <w:pPr>
        <w:numPr>
          <w:ilvl w:val="0"/>
          <w:numId w:val="4"/>
        </w:numPr>
        <w:spacing w:after="210" w:line="360" w:lineRule="auto"/>
      </w:pPr>
      <w:r>
        <w:fldChar w:fldCharType="begin"/>
      </w:r>
      <w:r>
        <w:instrText>HYPERLINK "https://oathpeptides.com/2025/09/17/tb-500-stunning-soft-tissue-repair-with-thymosin-beta-4/" \h</w:instrText>
      </w:r>
      <w:r>
        <w:fldChar w:fldCharType="separate"/>
      </w:r>
      <w:r>
        <w:rPr>
          <w:rFonts w:ascii="Helvetica Neue" w:eastAsia="Helvetica Neue" w:hAnsi="Helvetica Neue" w:cs="Helvetica Neue"/>
          <w:sz w:val="18"/>
          <w:u w:val="single"/>
        </w:rPr>
        <w:t>https://oathpeptides.com/2025/09/17/tb-500-stunning-soft-tissue-repair-with-thymosin-beta-4/</w:t>
      </w:r>
      <w:r>
        <w:fldChar w:fldCharType="end"/>
      </w:r>
      <w:r>
        <w:rPr>
          <w:rFonts w:eastAsia="Georgia" w:hAnsi="Georgia" w:cs="Georgia"/>
          <w:color w:val="000000"/>
          <w:sz w:val="18"/>
        </w:rPr>
        <w:t xml:space="preserve"> </w:t>
      </w:r>
    </w:p>
    <w:bookmarkStart w:id="35" w:name="fn17"/>
    <w:bookmarkEnd w:id="35"/>
    <w:p w14:paraId="4CC95351" w14:textId="77777777" w:rsidR="00684855" w:rsidRDefault="00000000">
      <w:pPr>
        <w:numPr>
          <w:ilvl w:val="0"/>
          <w:numId w:val="4"/>
        </w:numPr>
        <w:spacing w:after="210" w:line="360" w:lineRule="auto"/>
      </w:pPr>
      <w:r>
        <w:fldChar w:fldCharType="begin"/>
      </w:r>
      <w:r>
        <w:instrText>HYPERLINK "https://peptide.pub/blog/fda-peptide-compounding-2026" \h</w:instrText>
      </w:r>
      <w:r>
        <w:fldChar w:fldCharType="separate"/>
      </w:r>
      <w:r>
        <w:rPr>
          <w:rFonts w:ascii="Helvetica Neue" w:eastAsia="Helvetica Neue" w:hAnsi="Helvetica Neue" w:cs="Helvetica Neue"/>
          <w:sz w:val="18"/>
          <w:u w:val="single"/>
        </w:rPr>
        <w:t>https://peptide.pub/blog/fda-peptide-compounding-2026</w:t>
      </w:r>
      <w:r>
        <w:fldChar w:fldCharType="end"/>
      </w:r>
      <w:r>
        <w:rPr>
          <w:rFonts w:eastAsia="Georgia" w:hAnsi="Georgia" w:cs="Georgia"/>
          <w:color w:val="000000"/>
          <w:sz w:val="18"/>
        </w:rPr>
        <w:t xml:space="preserve"> </w:t>
      </w:r>
    </w:p>
    <w:sectPr w:rsidR="00684855">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Helvetica Neue">
    <w:altName w:val="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roman"/>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6460"/>
    <w:multiLevelType w:val="hybridMultilevel"/>
    <w:tmpl w:val="1F16F0D8"/>
    <w:lvl w:ilvl="0" w:tplc="58FADAAA">
      <w:start w:val="1"/>
      <w:numFmt w:val="decimal"/>
      <w:lvlText w:val="%1."/>
      <w:lvlJc w:val="left"/>
      <w:pPr>
        <w:tabs>
          <w:tab w:val="num" w:pos="900"/>
        </w:tabs>
        <w:ind w:left="540" w:hanging="360"/>
      </w:pPr>
    </w:lvl>
    <w:lvl w:ilvl="1" w:tplc="304C1B18">
      <w:numFmt w:val="decimal"/>
      <w:lvlText w:val=""/>
      <w:lvlJc w:val="left"/>
    </w:lvl>
    <w:lvl w:ilvl="2" w:tplc="B900EA94">
      <w:numFmt w:val="decimal"/>
      <w:lvlText w:val=""/>
      <w:lvlJc w:val="left"/>
    </w:lvl>
    <w:lvl w:ilvl="3" w:tplc="E318B75E">
      <w:numFmt w:val="decimal"/>
      <w:lvlText w:val=""/>
      <w:lvlJc w:val="left"/>
    </w:lvl>
    <w:lvl w:ilvl="4" w:tplc="36D63190">
      <w:numFmt w:val="decimal"/>
      <w:lvlText w:val=""/>
      <w:lvlJc w:val="left"/>
    </w:lvl>
    <w:lvl w:ilvl="5" w:tplc="BF2ECA44">
      <w:numFmt w:val="decimal"/>
      <w:lvlText w:val=""/>
      <w:lvlJc w:val="left"/>
    </w:lvl>
    <w:lvl w:ilvl="6" w:tplc="2E96BB98">
      <w:numFmt w:val="decimal"/>
      <w:lvlText w:val=""/>
      <w:lvlJc w:val="left"/>
    </w:lvl>
    <w:lvl w:ilvl="7" w:tplc="33F4648E">
      <w:numFmt w:val="decimal"/>
      <w:lvlText w:val=""/>
      <w:lvlJc w:val="left"/>
    </w:lvl>
    <w:lvl w:ilvl="8" w:tplc="0748A816">
      <w:numFmt w:val="decimal"/>
      <w:lvlText w:val=""/>
      <w:lvlJc w:val="left"/>
    </w:lvl>
  </w:abstractNum>
  <w:abstractNum w:abstractNumId="1" w15:restartNumberingAfterBreak="0">
    <w:nsid w:val="165C72D2"/>
    <w:multiLevelType w:val="hybridMultilevel"/>
    <w:tmpl w:val="796CB806"/>
    <w:lvl w:ilvl="0" w:tplc="45764E40">
      <w:numFmt w:val="decimal"/>
      <w:lvlText w:val=""/>
      <w:lvlJc w:val="left"/>
    </w:lvl>
    <w:lvl w:ilvl="1" w:tplc="6B0C080C">
      <w:numFmt w:val="decimal"/>
      <w:lvlText w:val=""/>
      <w:lvlJc w:val="left"/>
    </w:lvl>
    <w:lvl w:ilvl="2" w:tplc="F6CA57A6">
      <w:numFmt w:val="decimal"/>
      <w:lvlText w:val=""/>
      <w:lvlJc w:val="left"/>
    </w:lvl>
    <w:lvl w:ilvl="3" w:tplc="ED2A2DB0">
      <w:numFmt w:val="decimal"/>
      <w:lvlText w:val=""/>
      <w:lvlJc w:val="left"/>
    </w:lvl>
    <w:lvl w:ilvl="4" w:tplc="0E86AA6A">
      <w:numFmt w:val="decimal"/>
      <w:lvlText w:val=""/>
      <w:lvlJc w:val="left"/>
    </w:lvl>
    <w:lvl w:ilvl="5" w:tplc="364EB7C6">
      <w:numFmt w:val="decimal"/>
      <w:lvlText w:val=""/>
      <w:lvlJc w:val="left"/>
    </w:lvl>
    <w:lvl w:ilvl="6" w:tplc="B928D50A">
      <w:numFmt w:val="decimal"/>
      <w:lvlText w:val=""/>
      <w:lvlJc w:val="left"/>
    </w:lvl>
    <w:lvl w:ilvl="7" w:tplc="9DBEEF22">
      <w:numFmt w:val="decimal"/>
      <w:lvlText w:val=""/>
      <w:lvlJc w:val="left"/>
    </w:lvl>
    <w:lvl w:ilvl="8" w:tplc="A3E4D6E0">
      <w:numFmt w:val="decimal"/>
      <w:lvlText w:val=""/>
      <w:lvlJc w:val="left"/>
    </w:lvl>
  </w:abstractNum>
  <w:abstractNum w:abstractNumId="2" w15:restartNumberingAfterBreak="0">
    <w:nsid w:val="56D32C8F"/>
    <w:multiLevelType w:val="hybridMultilevel"/>
    <w:tmpl w:val="32FC703A"/>
    <w:lvl w:ilvl="0" w:tplc="CC6284DC">
      <w:start w:val="1"/>
      <w:numFmt w:val="decimal"/>
      <w:lvlText w:val="%1."/>
      <w:lvlJc w:val="left"/>
      <w:pPr>
        <w:tabs>
          <w:tab w:val="num" w:pos="900"/>
        </w:tabs>
        <w:ind w:left="540" w:hanging="360"/>
      </w:pPr>
    </w:lvl>
    <w:lvl w:ilvl="1" w:tplc="714AAC18">
      <w:numFmt w:val="decimal"/>
      <w:lvlText w:val=""/>
      <w:lvlJc w:val="left"/>
    </w:lvl>
    <w:lvl w:ilvl="2" w:tplc="7FEC1378">
      <w:numFmt w:val="decimal"/>
      <w:lvlText w:val=""/>
      <w:lvlJc w:val="left"/>
    </w:lvl>
    <w:lvl w:ilvl="3" w:tplc="43F231F0">
      <w:numFmt w:val="decimal"/>
      <w:lvlText w:val=""/>
      <w:lvlJc w:val="left"/>
    </w:lvl>
    <w:lvl w:ilvl="4" w:tplc="2FCCEB6A">
      <w:numFmt w:val="decimal"/>
      <w:lvlText w:val=""/>
      <w:lvlJc w:val="left"/>
    </w:lvl>
    <w:lvl w:ilvl="5" w:tplc="C6BA6CAC">
      <w:numFmt w:val="decimal"/>
      <w:lvlText w:val=""/>
      <w:lvlJc w:val="left"/>
    </w:lvl>
    <w:lvl w:ilvl="6" w:tplc="831890C0">
      <w:numFmt w:val="decimal"/>
      <w:lvlText w:val=""/>
      <w:lvlJc w:val="left"/>
    </w:lvl>
    <w:lvl w:ilvl="7" w:tplc="BB72AE36">
      <w:numFmt w:val="decimal"/>
      <w:lvlText w:val=""/>
      <w:lvlJc w:val="left"/>
    </w:lvl>
    <w:lvl w:ilvl="8" w:tplc="E4FE99B6">
      <w:numFmt w:val="decimal"/>
      <w:lvlText w:val=""/>
      <w:lvlJc w:val="left"/>
    </w:lvl>
  </w:abstractNum>
  <w:abstractNum w:abstractNumId="3" w15:restartNumberingAfterBreak="0">
    <w:nsid w:val="57A93E6F"/>
    <w:multiLevelType w:val="hybridMultilevel"/>
    <w:tmpl w:val="C240A8FE"/>
    <w:lvl w:ilvl="0" w:tplc="C05E7A42">
      <w:start w:val="1"/>
      <w:numFmt w:val="decimal"/>
      <w:lvlText w:val="%1."/>
      <w:lvlJc w:val="left"/>
      <w:pPr>
        <w:tabs>
          <w:tab w:val="num" w:pos="900"/>
        </w:tabs>
        <w:ind w:left="540" w:hanging="360"/>
      </w:pPr>
    </w:lvl>
    <w:lvl w:ilvl="1" w:tplc="C39016C4">
      <w:numFmt w:val="decimal"/>
      <w:lvlText w:val=""/>
      <w:lvlJc w:val="left"/>
    </w:lvl>
    <w:lvl w:ilvl="2" w:tplc="E21E1EBA">
      <w:numFmt w:val="decimal"/>
      <w:lvlText w:val=""/>
      <w:lvlJc w:val="left"/>
    </w:lvl>
    <w:lvl w:ilvl="3" w:tplc="2064DC6A">
      <w:numFmt w:val="decimal"/>
      <w:lvlText w:val=""/>
      <w:lvlJc w:val="left"/>
    </w:lvl>
    <w:lvl w:ilvl="4" w:tplc="6172EE58">
      <w:numFmt w:val="decimal"/>
      <w:lvlText w:val=""/>
      <w:lvlJc w:val="left"/>
    </w:lvl>
    <w:lvl w:ilvl="5" w:tplc="2E2A5584">
      <w:numFmt w:val="decimal"/>
      <w:lvlText w:val=""/>
      <w:lvlJc w:val="left"/>
    </w:lvl>
    <w:lvl w:ilvl="6" w:tplc="2FA8993E">
      <w:numFmt w:val="decimal"/>
      <w:lvlText w:val=""/>
      <w:lvlJc w:val="left"/>
    </w:lvl>
    <w:lvl w:ilvl="7" w:tplc="7D84D2AA">
      <w:numFmt w:val="decimal"/>
      <w:lvlText w:val=""/>
      <w:lvlJc w:val="left"/>
    </w:lvl>
    <w:lvl w:ilvl="8" w:tplc="5C28F092">
      <w:numFmt w:val="decimal"/>
      <w:lvlText w:val=""/>
      <w:lvlJc w:val="left"/>
    </w:lvl>
  </w:abstractNum>
  <w:num w:numId="1" w16cid:durableId="906376734">
    <w:abstractNumId w:val="0"/>
  </w:num>
  <w:num w:numId="2" w16cid:durableId="350231552">
    <w:abstractNumId w:val="3"/>
  </w:num>
  <w:num w:numId="3" w16cid:durableId="1945724981">
    <w:abstractNumId w:val="1"/>
  </w:num>
  <w:num w:numId="4" w16cid:durableId="5820314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855"/>
    <w:rsid w:val="000F19D0"/>
    <w:rsid w:val="00315771"/>
    <w:rsid w:val="00684855"/>
    <w:rsid w:val="00C02B92"/>
    <w:rsid w:val="00D808F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7F1F84C"/>
  <w15:docId w15:val="{E97476ED-B1D0-BC4B-AE2E-DCBE3BC0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ubmed.ncbi.nlm.nih.gov/2541541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ubmed.ncbi.nlm.nih.gov/25415413" TargetMode="External"/><Relationship Id="rId12" Type="http://schemas.openxmlformats.org/officeDocument/2006/relationships/hyperlink" Target="https://pubmed.ncbi.nlm.nih.gov/1059472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ionpeptides.org/product/tb-500-10-mg/" TargetMode="External"/><Relationship Id="rId11" Type="http://schemas.openxmlformats.org/officeDocument/2006/relationships/hyperlink" Target="https://pubmed.ncbi.nlm.nih.gov/32957874" TargetMode="External"/><Relationship Id="rId5" Type="http://schemas.openxmlformats.org/officeDocument/2006/relationships/hyperlink" Target="https://orionpeptides.org/product/bpc-157-10-mg/" TargetMode="External"/><Relationship Id="rId10" Type="http://schemas.openxmlformats.org/officeDocument/2006/relationships/hyperlink" Target="https://pubmed.ncbi.nlm.nih.gov/28205242" TargetMode="External"/><Relationship Id="rId4" Type="http://schemas.openxmlformats.org/officeDocument/2006/relationships/webSettings" Target="webSettings.xml"/><Relationship Id="rId9" Type="http://schemas.openxmlformats.org/officeDocument/2006/relationships/hyperlink" Target="https://pubmed.ncbi.nlm.nih.gov/2103067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2052</Words>
  <Characters>11697</Characters>
  <Application>Microsoft Office Word</Application>
  <DocSecurity>0</DocSecurity>
  <Lines>97</Lines>
  <Paragraphs>27</Paragraphs>
  <ScaleCrop>false</ScaleCrop>
  <Company/>
  <LinksUpToDate>false</LinksUpToDate>
  <CharactersWithSpaces>13722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raghav MALHOTRA</cp:lastModifiedBy>
  <cp:revision>3</cp:revision>
  <dcterms:created xsi:type="dcterms:W3CDTF">2026-05-04T16:49:00Z</dcterms:created>
  <dcterms:modified xsi:type="dcterms:W3CDTF">2026-05-04T16:51:00Z</dcterms:modified>
</cp:coreProperties>
</file>