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5C4D" w14:textId="42DD578A" w:rsidR="00356EAC" w:rsidRDefault="00356EAC">
      <w:pPr>
        <w:spacing w:after="0" w:line="360" w:lineRule="auto"/>
      </w:pPr>
    </w:p>
    <w:p w14:paraId="417FE6DD" w14:textId="77777777" w:rsidR="002A188B" w:rsidRDefault="002A188B">
      <w:pPr>
        <w:spacing w:after="0" w:line="360" w:lineRule="auto"/>
      </w:pPr>
    </w:p>
    <w:p w14:paraId="7753DD99" w14:textId="120BF787" w:rsidR="002A188B" w:rsidRDefault="002A188B">
      <w:pPr>
        <w:spacing w:after="0" w:line="360" w:lineRule="auto"/>
      </w:pPr>
      <w:r w:rsidRPr="002A188B">
        <w:t>https://orionpeptides.org/how-quickly-does-selank-start-working/</w:t>
      </w:r>
    </w:p>
    <w:p w14:paraId="29646F11" w14:textId="77777777" w:rsidR="002A188B" w:rsidRDefault="002A188B">
      <w:pPr>
        <w:spacing w:after="0" w:line="360" w:lineRule="auto"/>
      </w:pPr>
    </w:p>
    <w:p w14:paraId="02E0D0F1" w14:textId="77777777" w:rsidR="00356EAC" w:rsidRDefault="00000000">
      <w:pPr>
        <w:spacing w:before="157" w:after="157" w:line="270" w:lineRule="auto"/>
      </w:pPr>
      <w:bookmarkStart w:id="0" w:name="read_our_blog_posts"/>
      <w:r>
        <w:rPr>
          <w:rFonts w:eastAsia="Georgia" w:hAnsi="Georgia" w:cs="Georgia"/>
          <w:b/>
          <w:color w:val="000000"/>
          <w:sz w:val="39"/>
        </w:rPr>
        <w:t>Read Our Blog Posts</w:t>
      </w:r>
      <w:bookmarkEnd w:id="0"/>
    </w:p>
    <w:p w14:paraId="05BC4E4C" w14:textId="77777777" w:rsidR="00356EAC" w:rsidRDefault="00000000">
      <w:pPr>
        <w:spacing w:after="210" w:line="360" w:lineRule="auto"/>
      </w:pPr>
      <w:r>
        <w:rPr>
          <w:rFonts w:eastAsia="Georgia" w:hAnsi="Georgia" w:cs="Georgia"/>
          <w:color w:val="000000"/>
        </w:rPr>
        <w:t>How Quickly Does Selank Start Working? Researh Environment(2026 Update)</w:t>
      </w:r>
      <w:r>
        <w:rPr>
          <w:rFonts w:eastAsia="Georgia" w:hAnsi="Georgia" w:cs="Georgia"/>
          <w:color w:val="000000"/>
        </w:rPr>
        <w:br/>
        <w:t>Disclaimer: Selank is not approved by the FDA, and it is solely for laboratory research purposes only, and not for human consumption. At </w:t>
      </w:r>
      <w:hyperlink r:id="rId5">
        <w:r>
          <w:rPr>
            <w:rFonts w:ascii="Helvetica Neue" w:eastAsia="Helvetica Neue" w:hAnsi="Helvetica Neue" w:cs="Helvetica Neue"/>
            <w:u w:val="single"/>
          </w:rPr>
          <w:t>Orion Peptides</w:t>
        </w:r>
      </w:hyperlink>
      <w:r>
        <w:rPr>
          <w:rFonts w:eastAsia="Georgia" w:hAnsi="Georgia" w:cs="Georgia"/>
          <w:color w:val="000000"/>
        </w:rPr>
        <w:t>, we only sell Selnak for research purposes. The content shared below is only limited to research setting and research labs.</w:t>
      </w:r>
      <w:r>
        <w:rPr>
          <w:rFonts w:eastAsia="Georgia" w:hAnsi="Georgia" w:cs="Georgia"/>
          <w:color w:val="000000"/>
        </w:rPr>
        <w:br/>
        <w:t>Selank is a synthetic heptapeptide analogue of ACTH(4-10) that has been investigated in laboratory and small clinical models for its rapid anxiolytic, nootropic, and neuroprotective properties. One of the most common questions about Selank is: How quickly does Selank start to work?</w:t>
      </w:r>
      <w:r>
        <w:rPr>
          <w:rFonts w:eastAsia="Georgia" w:hAnsi="Georgia" w:cs="Georgia"/>
          <w:color w:val="000000"/>
        </w:rPr>
        <w:br/>
        <w:t>Short answer: In a research setting,  Selank acts on the central nervous system in a matter of minutes when administered intranasally. The changes in gene expression and neurotransmitter modulation can begin within 20–60 minutes, with the typical anxiolytic and cognitive effects seen in research models on single doses occurring after about 30–90 minutes. Many studies of anxiety and cognition assess cumulative benefits after 3–14 days of regular use.</w:t>
      </w:r>
      <w:r>
        <w:rPr>
          <w:rFonts w:eastAsia="Georgia" w:hAnsi="Georgia" w:cs="Georgia"/>
          <w:color w:val="000000"/>
        </w:rPr>
        <w:br/>
        <w:t>This speed of onset is because it reaches the brain much more directly, avoiding most of the systemic circulation. </w:t>
      </w:r>
      <w:r>
        <w:rPr>
          <w:rFonts w:eastAsia="Georgia" w:hAnsi="Georgia" w:cs="Georgia"/>
          <w:color w:val="000000"/>
        </w:rPr>
        <w:br/>
        <w:t>Disclaimer: Selank is not approved by the FDA, and it is solely for laboratory research purposes only, and not for human consumption. At Orion Peptides, we only sell Selnak for research purposes. </w:t>
      </w:r>
      <w:r>
        <w:rPr>
          <w:rFonts w:eastAsia="Georgia" w:hAnsi="Georgia" w:cs="Georgia"/>
          <w:color w:val="000000"/>
        </w:rPr>
        <w:br/>
        <w:t>Pharmacokinetics &amp; Why Selank Works So Quickly</w:t>
      </w:r>
      <w:r>
        <w:rPr>
          <w:rFonts w:eastAsia="Georgia" w:hAnsi="Georgia" w:cs="Georgia"/>
          <w:color w:val="000000"/>
        </w:rPr>
        <w:br/>
        <w:t>Selank (Intranasal): It enters the brain through the root-olfactory and trigeminal nerves at 2–15 min. High CNS bioavailability (~ 92–93%) confirmed by radiolabeled studies. While its plasma half-life is very short (a few min), its CNS actions last for many hours due to direct modulation of brain receptors/enzyme/gene expression.</w:t>
      </w:r>
      <w:r>
        <w:rPr>
          <w:rFonts w:eastAsia="Georgia" w:hAnsi="Georgia" w:cs="Georgia"/>
          <w:color w:val="000000"/>
        </w:rPr>
        <w:br/>
        <w:t>Its direct nose-to-brain transport helps account for why Selank is one of the quickest-acting research peptides when it comes to anxiolytic and cognitive endpoints.</w:t>
      </w:r>
      <w:r>
        <w:rPr>
          <w:rFonts w:eastAsia="Georgia" w:hAnsi="Georgia" w:cs="Georgia"/>
          <w:color w:val="000000"/>
        </w:rPr>
        <w:br/>
        <w:t>Note: These data are just limited to the research setting; please don’t use Selank for human use. </w:t>
      </w:r>
      <w:r>
        <w:rPr>
          <w:rFonts w:eastAsia="Georgia" w:hAnsi="Georgia" w:cs="Georgia"/>
          <w:color w:val="000000"/>
        </w:rPr>
        <w:br/>
        <w:t>Effects of Selank 5 mg</w:t>
      </w:r>
      <w:r>
        <w:rPr>
          <w:rFonts w:eastAsia="Georgia" w:hAnsi="Georgia" w:cs="Georgia"/>
          <w:color w:val="000000"/>
        </w:rPr>
        <w:br/>
        <w:t>Commonly used vial sizes for acute experiments, pilot studies, and dose-response are 5 mg. A 5 mg vial can be reconstituted for use in research settings with low-to-moderate dosing, using a flexible protocol.</w:t>
      </w:r>
      <w:r>
        <w:rPr>
          <w:rFonts w:eastAsia="Georgia" w:hAnsi="Georgia" w:cs="Georgia"/>
          <w:color w:val="000000"/>
        </w:rPr>
        <w:br/>
        <w:t>Researchers often observe at such a concentration:</w:t>
      </w:r>
      <w:r>
        <w:rPr>
          <w:rFonts w:eastAsia="Georgia" w:hAnsi="Georgia" w:cs="Georgia"/>
          <w:color w:val="000000"/>
        </w:rPr>
        <w:br/>
        <w:t>Rapid decrease in anxiety-like behavior on elevated plus-maze and open-field tests at 30–60 minutes</w:t>
      </w:r>
      <w:r>
        <w:rPr>
          <w:rFonts w:eastAsia="Georgia" w:hAnsi="Georgia" w:cs="Georgia"/>
          <w:color w:val="000000"/>
        </w:rPr>
        <w:br/>
      </w:r>
      <w:r>
        <w:rPr>
          <w:rFonts w:eastAsia="Georgia" w:hAnsi="Georgia" w:cs="Georgia"/>
          <w:color w:val="000000"/>
        </w:rPr>
        <w:lastRenderedPageBreak/>
        <w:t>BDNF and TrkB expression in the hippocampus was initially upregulated (about 20–40 min post-administration)</w:t>
      </w:r>
      <w:r>
        <w:rPr>
          <w:rFonts w:eastAsia="Georgia" w:hAnsi="Georgia" w:cs="Georgia"/>
          <w:color w:val="000000"/>
        </w:rPr>
        <w:br/>
        <w:t>Mildly positive effects on attention and working memory tasks in healthy animal models during the first hour</w:t>
      </w:r>
      <w:r>
        <w:rPr>
          <w:rFonts w:eastAsia="Georgia" w:hAnsi="Georgia" w:cs="Georgia"/>
          <w:color w:val="000000"/>
        </w:rPr>
        <w:br/>
        <w:t>Gradual normalization of stress-induced neurotransmitter gradients (serotonin and enkephalin systems)</w:t>
      </w:r>
      <w:r>
        <w:rPr>
          <w:rFonts w:eastAsia="Georgia" w:hAnsi="Georgia" w:cs="Georgia"/>
          <w:color w:val="000000"/>
        </w:rPr>
        <w:br/>
        <w:t>For short-term protocols, to achieve significant central effects without excessive total peptide usage, the 5 mg strength should be ideal.</w:t>
      </w:r>
      <w:r>
        <w:rPr>
          <w:rFonts w:eastAsia="Georgia" w:hAnsi="Georgia" w:cs="Georgia"/>
          <w:color w:val="000000"/>
        </w:rPr>
        <w:br/>
        <w:t>Effects of Selank 10 mg</w:t>
      </w:r>
      <w:r>
        <w:rPr>
          <w:rFonts w:eastAsia="Georgia" w:hAnsi="Georgia" w:cs="Georgia"/>
          <w:color w:val="000000"/>
        </w:rPr>
        <w:br/>
        <w:t>More material is provided in the 10 mg vial and it is often used for longer duration studies or protocols requiring dosing over multiple days.</w:t>
      </w:r>
      <w:r>
        <w:rPr>
          <w:rFonts w:eastAsia="Georgia" w:hAnsi="Georgia" w:cs="Georgia"/>
          <w:color w:val="000000"/>
        </w:rPr>
        <w:br/>
        <w:t>While studies typically report with the larger amount:</w:t>
      </w:r>
      <w:r>
        <w:rPr>
          <w:rFonts w:eastAsia="Georgia" w:hAnsi="Georgia" w:cs="Georgia"/>
          <w:color w:val="000000"/>
        </w:rPr>
        <w:br/>
        <w:t>More potent and prolonged anxiolytic effects persisting between 6–12 hours after a single administration</w:t>
      </w:r>
      <w:r>
        <w:rPr>
          <w:rFonts w:eastAsia="Georgia" w:hAnsi="Georgia" w:cs="Georgia"/>
          <w:color w:val="000000"/>
        </w:rPr>
        <w:br/>
        <w:t>More notable modulation of GABA receptor gene expression and decreasing pro-inflammatory markers</w:t>
      </w:r>
      <w:r>
        <w:rPr>
          <w:rFonts w:eastAsia="Georgia" w:hAnsi="Georgia" w:cs="Georgia"/>
          <w:color w:val="000000"/>
        </w:rPr>
        <w:br/>
        <w:t>Better cognitive performance and stress adaptation over 7–14 days of daily use</w:t>
      </w:r>
      <w:r>
        <w:rPr>
          <w:rFonts w:eastAsia="Georgia" w:hAnsi="Georgia" w:cs="Georgia"/>
          <w:color w:val="000000"/>
        </w:rPr>
        <w:br/>
        <w:t>Neuroprotection against ischemia or chronic mild stress is improved when administered at a higher (but still low) dose</w:t>
      </w:r>
      <w:r>
        <w:rPr>
          <w:rFonts w:eastAsia="Georgia" w:hAnsi="Georgia" w:cs="Georgia"/>
          <w:color w:val="000000"/>
        </w:rPr>
        <w:br/>
        <w:t>In particular, the 10 mg vial can simplify longitudinal behavioral studies or any scenario where researchers need to maintain a stable dosing regimen day after day without constant reconstitution.</w:t>
      </w:r>
      <w:r>
        <w:rPr>
          <w:rFonts w:eastAsia="Georgia" w:hAnsi="Georgia" w:cs="Georgia"/>
          <w:color w:val="000000"/>
        </w:rPr>
        <w:br/>
        <w:t>Factors That Influence the Onset Speed in A Research Setting</w:t>
      </w:r>
    </w:p>
    <w:p w14:paraId="24147B8D" w14:textId="77777777" w:rsidR="00356EAC" w:rsidRDefault="00000000">
      <w:pPr>
        <w:numPr>
          <w:ilvl w:val="0"/>
          <w:numId w:val="1"/>
        </w:numPr>
        <w:spacing w:before="105" w:after="105" w:line="360" w:lineRule="auto"/>
      </w:pPr>
      <w:r>
        <w:rPr>
          <w:rFonts w:eastAsia="Georgia" w:hAnsi="Georgia" w:cs="Georgia"/>
          <w:color w:val="000000"/>
        </w:rPr>
        <w:t>Route of administration</w:t>
      </w:r>
      <w:r>
        <w:rPr>
          <w:rFonts w:eastAsia="Georgia" w:hAnsi="Georgia" w:cs="Georgia"/>
          <w:color w:val="000000"/>
        </w:rPr>
        <w:br/>
        <w:t>Intranasal is much faster in achieving CNS effects than subcutaneous.</w:t>
      </w:r>
    </w:p>
    <w:p w14:paraId="40D494B3" w14:textId="77777777" w:rsidR="00356EAC" w:rsidRDefault="00000000">
      <w:pPr>
        <w:numPr>
          <w:ilvl w:val="0"/>
          <w:numId w:val="1"/>
        </w:numPr>
        <w:spacing w:before="105" w:after="105" w:line="360" w:lineRule="auto"/>
      </w:pPr>
      <w:r>
        <w:rPr>
          <w:rFonts w:eastAsia="Georgia" w:hAnsi="Georgia" w:cs="Georgia"/>
          <w:color w:val="000000"/>
        </w:rPr>
        <w:t>Dosage</w:t>
      </w:r>
      <w:r>
        <w:rPr>
          <w:rFonts w:eastAsia="Georgia" w:hAnsi="Georgia" w:cs="Georgia"/>
          <w:color w:val="000000"/>
        </w:rPr>
        <w:br/>
        <w:t>Generally, the higher doses (within research ranges) lead to more rapid and stronger observable changes.</w:t>
      </w:r>
    </w:p>
    <w:p w14:paraId="3659625E" w14:textId="77777777" w:rsidR="00356EAC" w:rsidRDefault="00000000">
      <w:pPr>
        <w:numPr>
          <w:ilvl w:val="0"/>
          <w:numId w:val="1"/>
        </w:numPr>
        <w:spacing w:before="105" w:after="105" w:line="360" w:lineRule="auto"/>
      </w:pPr>
      <w:r>
        <w:rPr>
          <w:rFonts w:eastAsia="Georgia" w:hAnsi="Georgia" w:cs="Georgia"/>
          <w:color w:val="000000"/>
        </w:rPr>
        <w:t>Individual factors</w:t>
      </w:r>
      <w:r>
        <w:rPr>
          <w:rFonts w:eastAsia="Georgia" w:hAnsi="Georgia" w:cs="Georgia"/>
          <w:color w:val="000000"/>
        </w:rPr>
        <w:br/>
        <w:t>One subconsensus relates to individual factors, including baseline anxiety levels, age, and neurotransmitter balance, affecting perceived onset.</w:t>
      </w:r>
    </w:p>
    <w:p w14:paraId="1E1F8F4F" w14:textId="77777777" w:rsidR="00356EAC" w:rsidRDefault="00000000">
      <w:pPr>
        <w:numPr>
          <w:ilvl w:val="0"/>
          <w:numId w:val="1"/>
        </w:numPr>
        <w:spacing w:before="105" w:after="105" w:line="360" w:lineRule="auto"/>
      </w:pPr>
      <w:r>
        <w:rPr>
          <w:rFonts w:eastAsia="Georgia" w:hAnsi="Georgia" w:cs="Georgia"/>
          <w:color w:val="000000"/>
        </w:rPr>
        <w:t>Technique</w:t>
      </w:r>
      <w:r>
        <w:rPr>
          <w:rFonts w:eastAsia="Georgia" w:hAnsi="Georgia" w:cs="Georgia"/>
          <w:color w:val="000000"/>
        </w:rPr>
        <w:br/>
        <w:t>The nose-to-brain transport will be maximized by doing the intranasal route properly (spraying evenly, head slightly tilted).</w:t>
      </w:r>
      <w:r>
        <w:rPr>
          <w:rFonts w:eastAsia="Georgia" w:hAnsi="Georgia" w:cs="Georgia"/>
          <w:color w:val="000000"/>
        </w:rPr>
        <w:br/>
        <w:t>Duration of Effects</w:t>
      </w:r>
      <w:r>
        <w:rPr>
          <w:rFonts w:eastAsia="Georgia" w:hAnsi="Georgia" w:cs="Georgia"/>
          <w:color w:val="000000"/>
        </w:rPr>
        <w:br/>
        <w:t xml:space="preserve">Although the peptide clears from the blood within minutes, a single injection often remains </w:t>
      </w:r>
      <w:r>
        <w:rPr>
          <w:rFonts w:eastAsia="Georgia" w:hAnsi="Georgia" w:cs="Georgia"/>
          <w:color w:val="000000"/>
        </w:rPr>
        <w:lastRenderedPageBreak/>
        <w:t>effective for functional effects for 4–12 hours. Benefits are stabilizing and/or cumulative with daily use, generally peaking at day 7–14 in anxiety or cognition research models.</w:t>
      </w:r>
      <w:r>
        <w:rPr>
          <w:rFonts w:eastAsia="Georgia" w:hAnsi="Georgia" w:cs="Georgia"/>
          <w:color w:val="000000"/>
        </w:rPr>
        <w:br/>
        <w:t>Important Research Caveats</w:t>
      </w:r>
      <w:r>
        <w:rPr>
          <w:rFonts w:eastAsia="Georgia" w:hAnsi="Georgia" w:cs="Georgia"/>
          <w:color w:val="000000"/>
        </w:rPr>
        <w:br/>
        <w:t>All of the data on rapid onset is derived from animal studies and small Russian clinical pilots. There are no major Western randomized controlled trials. Selank is still an investigational research compound and has unknown long-term safety in humans. It is intended for use only in controlled laboratory environments.</w:t>
      </w:r>
      <w:r>
        <w:rPr>
          <w:rFonts w:eastAsia="Georgia" w:hAnsi="Georgia" w:cs="Georgia"/>
          <w:color w:val="000000"/>
        </w:rPr>
        <w:br/>
        <w:t>Final Thoughts</w:t>
      </w:r>
      <w:r>
        <w:rPr>
          <w:rFonts w:eastAsia="Georgia" w:hAnsi="Georgia" w:cs="Georgia"/>
          <w:color w:val="000000"/>
        </w:rPr>
        <w:br/>
        <w:t>Selank is unique among research peptides thanks to the rapid action of its central nervous system effects. The onset of the genetic alterations begins as early as 20–30 minutes, with behavioral and anxiolytic changes often seen between 30–90 minutes after intranasal administration. The 5 mg vial is ideal for acute and pilot studies, while the 10 mg vial allows long-lasting or longitudinal research protocols.</w:t>
      </w:r>
      <w:r>
        <w:rPr>
          <w:rFonts w:eastAsia="Georgia" w:hAnsi="Georgia" w:cs="Georgia"/>
          <w:color w:val="000000"/>
        </w:rPr>
        <w:br/>
        <w:t>For those looking into anxiety pathways, stress sensitization/habituation, or the neurotrophic system, Selank has a uniquely rapid &amp; specific profile. Use only verified research-grade material and proper lip-sync procedures.</w:t>
      </w:r>
      <w:r>
        <w:rPr>
          <w:rFonts w:eastAsia="Georgia" w:hAnsi="Georgia" w:cs="Georgia"/>
          <w:color w:val="000000"/>
        </w:rPr>
        <w:br/>
        <w:t>References  </w:t>
      </w:r>
      <w:r>
        <w:rPr>
          <w:rFonts w:eastAsia="Georgia" w:hAnsi="Georgia" w:cs="Georgia"/>
          <w:color w:val="000000"/>
        </w:rPr>
        <w:br/>
      </w:r>
      <w:hyperlink r:id="rId6">
        <w:r>
          <w:rPr>
            <w:rFonts w:ascii="Helvetica Neue" w:eastAsia="Helvetica Neue" w:hAnsi="Helvetica Neue" w:cs="Helvetica Neue"/>
            <w:u w:val="single"/>
          </w:rPr>
          <w:t>Volkova et al. (2016)</w:t>
        </w:r>
      </w:hyperlink>
      <w:r>
        <w:rPr>
          <w:rFonts w:eastAsia="Georgia" w:hAnsi="Georgia" w:cs="Georgia"/>
          <w:color w:val="000000"/>
        </w:rPr>
        <w:t xml:space="preserve"> Rapid gene expression changes: </w:t>
      </w:r>
      <w:hyperlink r:id="rId7">
        <w:r>
          <w:rPr>
            <w:rFonts w:ascii="Helvetica Neue" w:eastAsia="Helvetica Neue" w:hAnsi="Helvetica Neue" w:cs="Helvetica Neue"/>
            <w:u w:val="single"/>
          </w:rPr>
          <w:t>https://pmc.ncbi.nlm.nih.gov/articles/PMC4757669/</w:t>
        </w:r>
      </w:hyperlink>
      <w:r>
        <w:rPr>
          <w:rFonts w:eastAsia="Georgia" w:hAnsi="Georgia" w:cs="Georgia"/>
          <w:color w:val="000000"/>
        </w:rPr>
        <w:t>  </w:t>
      </w:r>
      <w:r>
        <w:rPr>
          <w:rFonts w:eastAsia="Georgia" w:hAnsi="Georgia" w:cs="Georgia"/>
          <w:color w:val="000000"/>
        </w:rPr>
        <w:br/>
      </w:r>
      <w:hyperlink r:id="rId8">
        <w:r>
          <w:rPr>
            <w:rFonts w:ascii="Helvetica Neue" w:eastAsia="Helvetica Neue" w:hAnsi="Helvetica Neue" w:cs="Helvetica Neue"/>
            <w:u w:val="single"/>
          </w:rPr>
          <w:t>Kasian et al. (2017)</w:t>
        </w:r>
      </w:hyperlink>
      <w:r>
        <w:rPr>
          <w:rFonts w:eastAsia="Georgia" w:hAnsi="Georgia" w:cs="Georgia"/>
          <w:color w:val="000000"/>
        </w:rPr>
        <w:t xml:space="preserve"> Anxiolytic effects and GABA interaction: </w:t>
      </w:r>
      <w:hyperlink r:id="rId9">
        <w:r>
          <w:rPr>
            <w:rFonts w:ascii="Helvetica Neue" w:eastAsia="Helvetica Neue" w:hAnsi="Helvetica Neue" w:cs="Helvetica Neue"/>
            <w:u w:val="single"/>
          </w:rPr>
          <w:t>https://pmc.ncbi.nlm.nih.gov/articles/PMC5322660/</w:t>
        </w:r>
      </w:hyperlink>
      <w:r>
        <w:rPr>
          <w:rFonts w:eastAsia="Georgia" w:hAnsi="Georgia" w:cs="Georgia"/>
          <w:color w:val="000000"/>
        </w:rPr>
        <w:t>  </w:t>
      </w:r>
      <w:r>
        <w:rPr>
          <w:rFonts w:eastAsia="Georgia" w:hAnsi="Georgia" w:cs="Georgia"/>
          <w:color w:val="000000"/>
        </w:rPr>
        <w:br/>
      </w:r>
      <w:hyperlink r:id="rId10">
        <w:r>
          <w:rPr>
            <w:rFonts w:ascii="Helvetica Neue" w:eastAsia="Helvetica Neue" w:hAnsi="Helvetica Neue" w:cs="Helvetica Neue"/>
            <w:u w:val="single"/>
          </w:rPr>
          <w:t>Syunyakov et al. (2012)</w:t>
        </w:r>
      </w:hyperlink>
      <w:r>
        <w:rPr>
          <w:rFonts w:eastAsia="Georgia" w:hAnsi="Georgia" w:cs="Georgia"/>
          <w:color w:val="000000"/>
        </w:rPr>
        <w:t> Clinical observations in GAD patients  </w:t>
      </w:r>
      <w:r>
        <w:rPr>
          <w:rFonts w:eastAsia="Georgia" w:hAnsi="Georgia" w:cs="Georgia"/>
          <w:color w:val="000000"/>
        </w:rPr>
        <w:br/>
      </w:r>
      <w:hyperlink r:id="rId11">
        <w:r>
          <w:rPr>
            <w:rFonts w:ascii="Helvetica Neue" w:eastAsia="Helvetica Neue" w:hAnsi="Helvetica Neue" w:cs="Helvetica Neue"/>
            <w:u w:val="single"/>
          </w:rPr>
          <w:t>Kozlovsky et al. (2008)</w:t>
        </w:r>
      </w:hyperlink>
      <w:r>
        <w:rPr>
          <w:rFonts w:eastAsia="Georgia" w:hAnsi="Georgia" w:cs="Georgia"/>
          <w:color w:val="000000"/>
        </w:rPr>
        <w:t> Pharmacokinetics and nose-to-brain delivery of Selank:</w:t>
      </w:r>
    </w:p>
    <w:p w14:paraId="3BC99767" w14:textId="77777777" w:rsidR="00356EAC" w:rsidRDefault="00000000">
      <w:pPr>
        <w:spacing w:after="210" w:line="360" w:lineRule="auto"/>
      </w:pPr>
      <w:r>
        <w:rPr>
          <w:rFonts w:eastAsia="Georgia" w:hAnsi="Georgia" w:cs="Georgia"/>
          <w:color w:val="000000"/>
        </w:rPr>
        <w:t>Here’s a fresh, simple-English blog you can use on PeptraBio, based on the same research ideas but in a new style and structure so it does not copy the original text.</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 w:name="fnref4"/>
      <w:bookmarkEnd w:id="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3FC20BC1" w14:textId="77777777" w:rsidR="00356EAC" w:rsidRDefault="00CB43B1">
      <w:pPr>
        <w:spacing w:before="210" w:after="0" w:line="360" w:lineRule="auto"/>
      </w:pPr>
      <w:r>
        <w:rPr>
          <w:noProof/>
        </w:rPr>
      </w:r>
      <w:r>
        <w:rPr>
          <w:noProof/>
        </w:rPr>
        <w:pict w14:anchorId="36B9153D">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49D3F1" w14:textId="77777777" w:rsidR="00356EAC" w:rsidRDefault="00000000">
      <w:pPr>
        <w:spacing w:before="315" w:after="105" w:line="360" w:lineRule="auto"/>
        <w:ind w:left="-30"/>
      </w:pPr>
      <w:bookmarkStart w:id="5" w:name="how_fast_does_selank_act_in_resea_736d6a"/>
      <w:r>
        <w:rPr>
          <w:rFonts w:eastAsia="Georgia" w:hAnsi="Georgia" w:cs="Georgia"/>
          <w:b/>
          <w:color w:val="000000"/>
          <w:sz w:val="24"/>
        </w:rPr>
        <w:t>How Fast Does Selank Act in Research Settings? (2026 Overview)</w:t>
      </w:r>
      <w:bookmarkEnd w:id="5"/>
    </w:p>
    <w:p w14:paraId="35547C73" w14:textId="77777777" w:rsidR="00356EAC" w:rsidRDefault="00000000">
      <w:pPr>
        <w:spacing w:after="210" w:line="360" w:lineRule="auto"/>
      </w:pPr>
      <w:r>
        <w:rPr>
          <w:rFonts w:eastAsia="Georgia" w:hAnsi="Georgia" w:cs="Georgia"/>
          <w:color w:val="000000"/>
        </w:rPr>
        <w:t xml:space="preserve">Selank is a small synthetic peptide derived from a fragment of ACTH that has been studied in Russia and other research centres for its possible effects on anxiety, stress response, and cognition. A common question in lab discussions is: </w:t>
      </w:r>
      <w:r>
        <w:rPr>
          <w:rFonts w:eastAsia="Georgia" w:hAnsi="Georgia" w:cs="Georgia"/>
          <w:b/>
          <w:color w:val="000000"/>
        </w:rPr>
        <w:t>how quickly do its effects show up in experimental models, especially when given intranasally?</w:t>
      </w:r>
      <w:bookmarkStart w:id="6" w:name="fnref4_1"/>
      <w:bookmarkEnd w:id="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7" w:name="fnref1_1"/>
      <w:bookmarkEnd w:id="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5370E97" w14:textId="77777777" w:rsidR="00356EAC" w:rsidRDefault="00000000">
      <w:pPr>
        <w:spacing w:after="210" w:line="360" w:lineRule="auto"/>
      </w:pPr>
      <w:r>
        <w:rPr>
          <w:rFonts w:eastAsia="Georgia" w:hAnsi="Georgia" w:cs="Georgia"/>
          <w:color w:val="000000"/>
        </w:rPr>
        <w:lastRenderedPageBreak/>
        <w:t xml:space="preserve">This article looks at Selank </w:t>
      </w:r>
      <w:r>
        <w:rPr>
          <w:rFonts w:eastAsia="Georgia" w:hAnsi="Georgia" w:cs="Georgia"/>
          <w:b/>
          <w:color w:val="000000"/>
        </w:rPr>
        <w:t>only from a research point of view</w:t>
      </w:r>
      <w:r>
        <w:rPr>
          <w:rFonts w:eastAsia="Georgia" w:hAnsi="Georgia" w:cs="Georgia"/>
          <w:color w:val="000000"/>
        </w:rPr>
        <w:t>: how fast it reaches the brain, which time window early changes are seen in animal and pilot studies, and how 5 mg versus 10 mg vials are typically used in lab protocols.</w:t>
      </w:r>
    </w:p>
    <w:p w14:paraId="2C375CEC" w14:textId="77777777" w:rsidR="00356EAC" w:rsidRDefault="00000000">
      <w:pPr>
        <w:spacing w:after="210" w:line="360" w:lineRule="auto"/>
        <w:ind w:left="630"/>
      </w:pPr>
      <w:r>
        <w:rPr>
          <w:rFonts w:eastAsia="Georgia" w:hAnsi="Georgia" w:cs="Georgia"/>
          <w:color w:val="000000"/>
        </w:rPr>
        <w:t>Selank is not approved by the FDA or other major regulators as a medicine. It is an investigational research peptide and must not be used for self‑treatment or routine clinical care.</w:t>
      </w:r>
      <w:bookmarkStart w:id="8" w:name="fnref3_1"/>
      <w:bookmarkEnd w:id="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9" w:name="fnref5"/>
      <w:bookmarkEnd w:id="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2F487B3" w14:textId="77777777" w:rsidR="00356EAC" w:rsidRDefault="00CB43B1">
      <w:pPr>
        <w:spacing w:before="210" w:after="0" w:line="360" w:lineRule="auto"/>
      </w:pPr>
      <w:r>
        <w:rPr>
          <w:noProof/>
        </w:rPr>
      </w:r>
      <w:r>
        <w:rPr>
          <w:noProof/>
        </w:rPr>
        <w:pict w14:anchorId="4474AF58">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06C02F" w14:textId="77777777" w:rsidR="00356EAC" w:rsidRDefault="00000000">
      <w:pPr>
        <w:spacing w:before="315" w:after="105" w:line="360" w:lineRule="auto"/>
        <w:ind w:left="-30"/>
      </w:pPr>
      <w:bookmarkStart w:id="10" w:name="nose_to_brain_delivery_why_onset_b3b3b9"/>
      <w:r>
        <w:rPr>
          <w:rFonts w:eastAsia="Georgia" w:hAnsi="Georgia" w:cs="Georgia"/>
          <w:b/>
          <w:color w:val="000000"/>
          <w:sz w:val="24"/>
        </w:rPr>
        <w:t>Nose‑to‑Brain Delivery: Why Onset Can Be Fast</w:t>
      </w:r>
      <w:bookmarkEnd w:id="10"/>
    </w:p>
    <w:p w14:paraId="5007A2F7" w14:textId="77777777" w:rsidR="00356EAC" w:rsidRDefault="00000000">
      <w:pPr>
        <w:spacing w:after="210" w:line="360" w:lineRule="auto"/>
      </w:pPr>
      <w:r>
        <w:rPr>
          <w:rFonts w:eastAsia="Georgia" w:hAnsi="Georgia" w:cs="Georgia"/>
          <w:color w:val="000000"/>
        </w:rPr>
        <w:t xml:space="preserve">Most modern Selank work uses </w:t>
      </w:r>
      <w:r>
        <w:rPr>
          <w:rFonts w:eastAsia="Georgia" w:hAnsi="Georgia" w:cs="Georgia"/>
          <w:b/>
          <w:color w:val="000000"/>
        </w:rPr>
        <w:t>intranasal administration</w:t>
      </w:r>
      <w:r>
        <w:rPr>
          <w:rFonts w:eastAsia="Georgia" w:hAnsi="Georgia" w:cs="Georgia"/>
          <w:color w:val="000000"/>
        </w:rPr>
        <w:t xml:space="preserve"> rather than injections. The goal is to move the peptide along </w:t>
      </w:r>
      <w:r>
        <w:rPr>
          <w:rFonts w:eastAsia="Georgia" w:hAnsi="Georgia" w:cs="Georgia"/>
          <w:b/>
          <w:color w:val="000000"/>
        </w:rPr>
        <w:t>olfactory and trigeminal pathways</w:t>
      </w:r>
      <w:r>
        <w:rPr>
          <w:rFonts w:eastAsia="Georgia" w:hAnsi="Georgia" w:cs="Georgia"/>
          <w:color w:val="000000"/>
        </w:rPr>
        <w:t xml:space="preserve"> directly from the nasal cavity toward the central nervous system, instead of relying on oral or standard systemic delivery.</w:t>
      </w:r>
      <w:bookmarkStart w:id="11" w:name="fnref6"/>
      <w:bookmarkEnd w:id="11"/>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12" w:name="fnref7"/>
      <w:bookmarkEnd w:id="12"/>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3" w:name="fnref1_2"/>
      <w:bookmarkEnd w:id="1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5003BA0B" w14:textId="77777777" w:rsidR="00356EAC" w:rsidRDefault="00000000">
      <w:pPr>
        <w:spacing w:after="210" w:line="360" w:lineRule="auto"/>
      </w:pPr>
      <w:r>
        <w:rPr>
          <w:rFonts w:eastAsia="Georgia" w:hAnsi="Georgia" w:cs="Georgia"/>
          <w:color w:val="000000"/>
        </w:rPr>
        <w:t>Key points from nose‑to‑brain studies and peptide‑delivery reviews:</w:t>
      </w:r>
    </w:p>
    <w:p w14:paraId="3A050972" w14:textId="77777777" w:rsidR="00356EAC" w:rsidRDefault="00000000">
      <w:pPr>
        <w:numPr>
          <w:ilvl w:val="0"/>
          <w:numId w:val="2"/>
        </w:numPr>
        <w:spacing w:before="105" w:after="105" w:line="360" w:lineRule="auto"/>
      </w:pPr>
      <w:r>
        <w:rPr>
          <w:rFonts w:eastAsia="Georgia" w:hAnsi="Georgia" w:cs="Georgia"/>
          <w:color w:val="000000"/>
        </w:rPr>
        <w:t xml:space="preserve">Intranasal dosing can bring small peptides into the brain in </w:t>
      </w:r>
      <w:r>
        <w:rPr>
          <w:rFonts w:eastAsia="Georgia" w:hAnsi="Georgia" w:cs="Georgia"/>
          <w:b/>
          <w:color w:val="000000"/>
        </w:rPr>
        <w:t>minutes</w:t>
      </w:r>
      <w:r>
        <w:rPr>
          <w:rFonts w:eastAsia="Georgia" w:hAnsi="Georgia" w:cs="Georgia"/>
          <w:color w:val="000000"/>
        </w:rPr>
        <w:t>, bypassing much of the blood–brain barrier.</w:t>
      </w:r>
      <w:bookmarkStart w:id="14" w:name="fnref7_1"/>
      <w:bookmarkEnd w:id="14"/>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5" w:name="fnref6_1"/>
      <w:bookmarkEnd w:id="15"/>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6E481EE5" w14:textId="77777777" w:rsidR="00356EAC" w:rsidRDefault="00000000">
      <w:pPr>
        <w:numPr>
          <w:ilvl w:val="0"/>
          <w:numId w:val="2"/>
        </w:numPr>
        <w:spacing w:before="105" w:after="105" w:line="360" w:lineRule="auto"/>
      </w:pPr>
      <w:r>
        <w:rPr>
          <w:rFonts w:eastAsia="Georgia" w:hAnsi="Georgia" w:cs="Georgia"/>
          <w:color w:val="000000"/>
        </w:rPr>
        <w:t xml:space="preserve">Experimental work with Selank shows changes in expression of neurotransmission‑related genes in the rat frontal cortex within </w:t>
      </w:r>
      <w:r>
        <w:rPr>
          <w:rFonts w:eastAsia="Georgia" w:hAnsi="Georgia" w:cs="Georgia"/>
          <w:b/>
          <w:color w:val="000000"/>
        </w:rPr>
        <w:t>1–3 hours</w:t>
      </w:r>
      <w:r>
        <w:rPr>
          <w:rFonts w:eastAsia="Georgia" w:hAnsi="Georgia" w:cs="Georgia"/>
          <w:color w:val="000000"/>
        </w:rPr>
        <w:t xml:space="preserve"> after intranasal dosing.</w:t>
      </w:r>
      <w:bookmarkStart w:id="16" w:name="fnref1_3"/>
      <w:bookmarkEnd w:id="1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5FD63824" w14:textId="77777777" w:rsidR="00356EAC" w:rsidRDefault="00000000">
      <w:pPr>
        <w:numPr>
          <w:ilvl w:val="0"/>
          <w:numId w:val="2"/>
        </w:numPr>
        <w:spacing w:before="105" w:after="105" w:line="360" w:lineRule="auto"/>
      </w:pPr>
      <w:r>
        <w:rPr>
          <w:rFonts w:eastAsia="Georgia" w:hAnsi="Georgia" w:cs="Georgia"/>
          <w:color w:val="000000"/>
        </w:rPr>
        <w:t xml:space="preserve">Secondary sources summarizing radiolabel and formulational research describe </w:t>
      </w:r>
      <w:r>
        <w:rPr>
          <w:rFonts w:eastAsia="Georgia" w:hAnsi="Georgia" w:cs="Georgia"/>
          <w:b/>
          <w:color w:val="000000"/>
        </w:rPr>
        <w:t>very high apparent CNS bioavailability</w:t>
      </w:r>
      <w:r>
        <w:rPr>
          <w:rFonts w:eastAsia="Georgia" w:hAnsi="Georgia" w:cs="Georgia"/>
          <w:color w:val="000000"/>
        </w:rPr>
        <w:t xml:space="preserve"> for intranasal Selank (often quoted around 90%+) and extremely rapid appearance in blood and brain compared with many other peptides.</w:t>
      </w:r>
      <w:bookmarkStart w:id="17" w:name="fnref2_1"/>
      <w:bookmarkEnd w:id="1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8" w:name="fnref3_2"/>
      <w:bookmarkEnd w:id="1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834AE25" w14:textId="77777777" w:rsidR="00356EAC" w:rsidRDefault="00000000">
      <w:pPr>
        <w:spacing w:after="210" w:line="360" w:lineRule="auto"/>
      </w:pPr>
      <w:r>
        <w:rPr>
          <w:rFonts w:eastAsia="Georgia" w:hAnsi="Georgia" w:cs="Georgia"/>
          <w:color w:val="000000"/>
        </w:rPr>
        <w:t xml:space="preserve">Taken together, this explains why Selank is often described as one of the </w:t>
      </w:r>
      <w:r>
        <w:rPr>
          <w:rFonts w:eastAsia="Georgia" w:hAnsi="Georgia" w:cs="Georgia"/>
          <w:b/>
          <w:color w:val="000000"/>
        </w:rPr>
        <w:t>faster‑acting research peptides</w:t>
      </w:r>
      <w:r>
        <w:rPr>
          <w:rFonts w:eastAsia="Georgia" w:hAnsi="Georgia" w:cs="Georgia"/>
          <w:color w:val="000000"/>
        </w:rPr>
        <w:t xml:space="preserve"> for central nervous system endpoints when delivered via the nasal route.</w:t>
      </w:r>
    </w:p>
    <w:p w14:paraId="58099EF3" w14:textId="77777777" w:rsidR="00356EAC" w:rsidRDefault="00CB43B1">
      <w:pPr>
        <w:spacing w:before="210" w:after="0" w:line="360" w:lineRule="auto"/>
      </w:pPr>
      <w:r>
        <w:rPr>
          <w:noProof/>
        </w:rPr>
      </w:r>
      <w:r>
        <w:rPr>
          <w:noProof/>
        </w:rPr>
        <w:pict w14:anchorId="3D9CFA5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423C47F" w14:textId="77777777" w:rsidR="00356EAC" w:rsidRDefault="00000000">
      <w:pPr>
        <w:spacing w:before="315" w:after="105" w:line="360" w:lineRule="auto"/>
        <w:ind w:left="-30"/>
      </w:pPr>
      <w:bookmarkStart w:id="19" w:name="time_course_of_effects_in_experim_4334e5"/>
      <w:r>
        <w:rPr>
          <w:rFonts w:eastAsia="Georgia" w:hAnsi="Georgia" w:cs="Georgia"/>
          <w:b/>
          <w:color w:val="000000"/>
          <w:sz w:val="24"/>
        </w:rPr>
        <w:t>Time Course of Effects in Experimental Models</w:t>
      </w:r>
      <w:bookmarkEnd w:id="19"/>
    </w:p>
    <w:p w14:paraId="6B35E50C" w14:textId="77777777" w:rsidR="00356EAC" w:rsidRDefault="00000000">
      <w:pPr>
        <w:spacing w:after="210" w:line="360" w:lineRule="auto"/>
      </w:pPr>
      <w:r>
        <w:rPr>
          <w:rFonts w:eastAsia="Georgia" w:hAnsi="Georgia" w:cs="Georgia"/>
          <w:color w:val="000000"/>
        </w:rPr>
        <w:t xml:space="preserve">When researchers talk about “how fast Selank works,” they usually split the answer into </w:t>
      </w:r>
      <w:r>
        <w:rPr>
          <w:rFonts w:eastAsia="Georgia" w:hAnsi="Georgia" w:cs="Georgia"/>
          <w:b/>
          <w:color w:val="000000"/>
        </w:rPr>
        <w:t>acute (first hours)</w:t>
      </w:r>
      <w:r>
        <w:rPr>
          <w:rFonts w:eastAsia="Georgia" w:hAnsi="Georgia" w:cs="Georgia"/>
          <w:color w:val="000000"/>
        </w:rPr>
        <w:t xml:space="preserve"> and </w:t>
      </w:r>
      <w:r>
        <w:rPr>
          <w:rFonts w:eastAsia="Georgia" w:hAnsi="Georgia" w:cs="Georgia"/>
          <w:b/>
          <w:color w:val="000000"/>
        </w:rPr>
        <w:t>short‑course (first days)</w:t>
      </w:r>
      <w:r>
        <w:rPr>
          <w:rFonts w:eastAsia="Georgia" w:hAnsi="Georgia" w:cs="Georgia"/>
          <w:color w:val="000000"/>
        </w:rPr>
        <w:t xml:space="preserve"> effects.</w:t>
      </w:r>
    </w:p>
    <w:p w14:paraId="0DA0DDF2" w14:textId="77777777" w:rsidR="00356EAC" w:rsidRDefault="00000000">
      <w:pPr>
        <w:spacing w:before="315" w:after="105" w:line="360" w:lineRule="auto"/>
        <w:ind w:left="-30"/>
      </w:pPr>
      <w:bookmarkStart w:id="20" w:name="within_minutes_to_a_few_hours"/>
      <w:r>
        <w:rPr>
          <w:rFonts w:eastAsia="Georgia" w:hAnsi="Georgia" w:cs="Georgia"/>
          <w:b/>
          <w:color w:val="000000"/>
          <w:sz w:val="24"/>
        </w:rPr>
        <w:t>Within minutes to a few hours</w:t>
      </w:r>
      <w:bookmarkEnd w:id="20"/>
    </w:p>
    <w:p w14:paraId="6F6F45A2" w14:textId="77777777" w:rsidR="00356EAC" w:rsidRDefault="00000000">
      <w:pPr>
        <w:spacing w:after="210" w:line="360" w:lineRule="auto"/>
      </w:pPr>
      <w:r>
        <w:rPr>
          <w:rFonts w:eastAsia="Georgia" w:hAnsi="Georgia" w:cs="Georgia"/>
          <w:color w:val="000000"/>
        </w:rPr>
        <w:t>In rodent and mechanistic studies:</w:t>
      </w:r>
    </w:p>
    <w:p w14:paraId="1ACF44F3" w14:textId="77777777" w:rsidR="00356EAC" w:rsidRDefault="00000000">
      <w:pPr>
        <w:numPr>
          <w:ilvl w:val="0"/>
          <w:numId w:val="3"/>
        </w:numPr>
        <w:spacing w:before="105" w:after="105" w:line="360" w:lineRule="auto"/>
      </w:pPr>
      <w:r>
        <w:rPr>
          <w:rFonts w:eastAsia="Georgia" w:hAnsi="Georgia" w:cs="Georgia"/>
          <w:color w:val="000000"/>
        </w:rPr>
        <w:lastRenderedPageBreak/>
        <w:t xml:space="preserve">Early shifts in mRNA levels of genes linked to neurotransmission and neurotrophic signalling are seen within the first </w:t>
      </w:r>
      <w:r>
        <w:rPr>
          <w:rFonts w:eastAsia="Georgia" w:hAnsi="Georgia" w:cs="Georgia"/>
          <w:b/>
          <w:color w:val="000000"/>
        </w:rPr>
        <w:t>1–3 hours</w:t>
      </w:r>
      <w:r>
        <w:rPr>
          <w:rFonts w:eastAsia="Georgia" w:hAnsi="Georgia" w:cs="Georgia"/>
          <w:color w:val="000000"/>
        </w:rPr>
        <w:t xml:space="preserve"> after a single intranasal dose.</w:t>
      </w:r>
      <w:bookmarkStart w:id="21" w:name="fnref1_4"/>
      <w:bookmarkEnd w:id="2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C94E3BD" w14:textId="77777777" w:rsidR="00356EAC" w:rsidRDefault="00000000">
      <w:pPr>
        <w:numPr>
          <w:ilvl w:val="0"/>
          <w:numId w:val="3"/>
        </w:numPr>
        <w:spacing w:before="105" w:after="105" w:line="360" w:lineRule="auto"/>
      </w:pPr>
      <w:r>
        <w:rPr>
          <w:rFonts w:eastAsia="Georgia" w:hAnsi="Georgia" w:cs="Georgia"/>
          <w:color w:val="000000"/>
        </w:rPr>
        <w:t xml:space="preserve">Separate work shows that intranasal Selank can change </w:t>
      </w:r>
      <w:r>
        <w:rPr>
          <w:rFonts w:eastAsia="Georgia" w:hAnsi="Georgia" w:cs="Georgia"/>
          <w:b/>
          <w:color w:val="000000"/>
        </w:rPr>
        <w:t>BDNF expression in the hippocampus</w:t>
      </w:r>
      <w:r>
        <w:rPr>
          <w:rFonts w:eastAsia="Georgia" w:hAnsi="Georgia" w:cs="Georgia"/>
          <w:color w:val="000000"/>
        </w:rPr>
        <w:t xml:space="preserve"> within a few hours, suggesting a rapid influence on plasticity‑related pathways.</w:t>
      </w:r>
      <w:bookmarkStart w:id="22" w:name="fnref8"/>
      <w:bookmarkEnd w:id="22"/>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23" w:name="fnref4_2"/>
      <w:bookmarkEnd w:id="2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6F18BC0" w14:textId="77777777" w:rsidR="00356EAC" w:rsidRDefault="00000000">
      <w:pPr>
        <w:numPr>
          <w:ilvl w:val="0"/>
          <w:numId w:val="3"/>
        </w:numPr>
        <w:spacing w:before="105" w:after="105" w:line="360" w:lineRule="auto"/>
      </w:pPr>
      <w:r>
        <w:rPr>
          <w:rFonts w:eastAsia="Georgia" w:hAnsi="Georgia" w:cs="Georgia"/>
          <w:color w:val="000000"/>
        </w:rPr>
        <w:t xml:space="preserve">Some behavioural tests (such as elevated plus‑maze or open‑field anxiety models) detect reductions in anxiety‑like behaviour within the first </w:t>
      </w:r>
      <w:r>
        <w:rPr>
          <w:rFonts w:eastAsia="Georgia" w:hAnsi="Georgia" w:cs="Georgia"/>
          <w:b/>
          <w:color w:val="000000"/>
        </w:rPr>
        <w:t>30–90 minutes</w:t>
      </w:r>
      <w:r>
        <w:rPr>
          <w:rFonts w:eastAsia="Georgia" w:hAnsi="Georgia" w:cs="Georgia"/>
          <w:color w:val="000000"/>
        </w:rPr>
        <w:t xml:space="preserve"> post‑dose in certain protocols.</w:t>
      </w:r>
      <w:bookmarkStart w:id="24" w:name="fnref9"/>
      <w:bookmarkEnd w:id="24"/>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25" w:name="fnref3_3"/>
      <w:bookmarkEnd w:id="2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B8B002B" w14:textId="77777777" w:rsidR="00356EAC" w:rsidRDefault="00000000">
      <w:pPr>
        <w:spacing w:after="210" w:line="360" w:lineRule="auto"/>
      </w:pPr>
      <w:r>
        <w:rPr>
          <w:rFonts w:eastAsia="Georgia" w:hAnsi="Georgia" w:cs="Georgia"/>
          <w:color w:val="000000"/>
        </w:rPr>
        <w:t xml:space="preserve">These findings support the view that Selank can begin to act in the brain </w:t>
      </w:r>
      <w:r>
        <w:rPr>
          <w:rFonts w:eastAsia="Georgia" w:hAnsi="Georgia" w:cs="Georgia"/>
          <w:b/>
          <w:color w:val="000000"/>
        </w:rPr>
        <w:t>within tens of minutes</w:t>
      </w:r>
      <w:r>
        <w:rPr>
          <w:rFonts w:eastAsia="Georgia" w:hAnsi="Georgia" w:cs="Georgia"/>
          <w:color w:val="000000"/>
        </w:rPr>
        <w:t xml:space="preserve"> in animal models, even though its presence in blood is short‑lived.</w:t>
      </w:r>
    </w:p>
    <w:p w14:paraId="2E924D09" w14:textId="77777777" w:rsidR="00356EAC" w:rsidRDefault="00000000">
      <w:pPr>
        <w:spacing w:before="315" w:after="105" w:line="360" w:lineRule="auto"/>
        <w:ind w:left="-30"/>
      </w:pPr>
      <w:bookmarkStart w:id="26" w:name="over_several_days_of_dosing"/>
      <w:r>
        <w:rPr>
          <w:rFonts w:eastAsia="Georgia" w:hAnsi="Georgia" w:cs="Georgia"/>
          <w:b/>
          <w:color w:val="000000"/>
          <w:sz w:val="24"/>
        </w:rPr>
        <w:t>Over several days of dosing</w:t>
      </w:r>
      <w:bookmarkEnd w:id="26"/>
    </w:p>
    <w:p w14:paraId="3DA21CD3" w14:textId="77777777" w:rsidR="00356EAC" w:rsidRDefault="00000000">
      <w:pPr>
        <w:spacing w:after="210" w:line="360" w:lineRule="auto"/>
      </w:pPr>
      <w:r>
        <w:rPr>
          <w:rFonts w:eastAsia="Georgia" w:hAnsi="Georgia" w:cs="Georgia"/>
          <w:color w:val="000000"/>
        </w:rPr>
        <w:t xml:space="preserve">For more stable changes, many groups look at </w:t>
      </w:r>
      <w:r>
        <w:rPr>
          <w:rFonts w:eastAsia="Georgia" w:hAnsi="Georgia" w:cs="Georgia"/>
          <w:b/>
          <w:color w:val="000000"/>
        </w:rPr>
        <w:t>repeated administration</w:t>
      </w:r>
      <w:r>
        <w:rPr>
          <w:rFonts w:eastAsia="Georgia" w:hAnsi="Georgia" w:cs="Georgia"/>
          <w:color w:val="000000"/>
        </w:rPr>
        <w:t>:</w:t>
      </w:r>
    </w:p>
    <w:p w14:paraId="0F389A3B" w14:textId="77777777" w:rsidR="00356EAC" w:rsidRDefault="00000000">
      <w:pPr>
        <w:numPr>
          <w:ilvl w:val="0"/>
          <w:numId w:val="4"/>
        </w:numPr>
        <w:spacing w:before="105" w:after="105" w:line="360" w:lineRule="auto"/>
      </w:pPr>
      <w:r>
        <w:rPr>
          <w:rFonts w:eastAsia="Georgia" w:hAnsi="Georgia" w:cs="Georgia"/>
          <w:color w:val="000000"/>
        </w:rPr>
        <w:t xml:space="preserve">Anxiolytic and stress‑modulating effects tend to become clearer over </w:t>
      </w:r>
      <w:r>
        <w:rPr>
          <w:rFonts w:eastAsia="Georgia" w:hAnsi="Georgia" w:cs="Georgia"/>
          <w:b/>
          <w:color w:val="000000"/>
        </w:rPr>
        <w:t>5–14 days</w:t>
      </w:r>
      <w:r>
        <w:rPr>
          <w:rFonts w:eastAsia="Georgia" w:hAnsi="Georgia" w:cs="Georgia"/>
          <w:color w:val="000000"/>
        </w:rPr>
        <w:t xml:space="preserve"> of regular dosing in rodent models, particularly in chronic stress paradigms.</w:t>
      </w:r>
      <w:bookmarkStart w:id="27" w:name="fnref5_1"/>
      <w:bookmarkEnd w:id="2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28" w:name="fnref9_1"/>
      <w:bookmarkEnd w:id="28"/>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0981792B" w14:textId="77777777" w:rsidR="00356EAC" w:rsidRDefault="00000000">
      <w:pPr>
        <w:numPr>
          <w:ilvl w:val="0"/>
          <w:numId w:val="4"/>
        </w:numPr>
        <w:spacing w:before="105" w:after="105" w:line="360" w:lineRule="auto"/>
      </w:pPr>
      <w:r>
        <w:rPr>
          <w:rFonts w:eastAsia="Georgia" w:hAnsi="Georgia" w:cs="Georgia"/>
          <w:color w:val="000000"/>
        </w:rPr>
        <w:t>Changes in BDNF‑TrkB signalling and related gene networks appear to accumulate over repeated exposure, fitting with a gradual neuroplastic rather than purely acute sedative effect.</w:t>
      </w:r>
      <w:bookmarkStart w:id="29" w:name="fnref4_3"/>
      <w:bookmarkEnd w:id="2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30" w:name="fnref8_1"/>
      <w:bookmarkEnd w:id="30"/>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47120EC8" w14:textId="77777777" w:rsidR="00356EAC" w:rsidRDefault="00000000">
      <w:pPr>
        <w:spacing w:after="210" w:line="360" w:lineRule="auto"/>
      </w:pPr>
      <w:r>
        <w:rPr>
          <w:rFonts w:eastAsia="Georgia" w:hAnsi="Georgia" w:cs="Georgia"/>
          <w:color w:val="000000"/>
        </w:rPr>
        <w:t>So, in a research context, Selank is often described as having:</w:t>
      </w:r>
    </w:p>
    <w:p w14:paraId="1ACDF649" w14:textId="77777777" w:rsidR="00356EAC" w:rsidRDefault="00000000">
      <w:pPr>
        <w:numPr>
          <w:ilvl w:val="0"/>
          <w:numId w:val="5"/>
        </w:numPr>
        <w:spacing w:before="105" w:after="105" w:line="360" w:lineRule="auto"/>
      </w:pPr>
      <w:r>
        <w:rPr>
          <w:rFonts w:eastAsia="Georgia" w:hAnsi="Georgia" w:cs="Georgia"/>
          <w:color w:val="000000"/>
        </w:rPr>
        <w:t xml:space="preserve">A </w:t>
      </w:r>
      <w:r>
        <w:rPr>
          <w:rFonts w:eastAsia="Georgia" w:hAnsi="Georgia" w:cs="Georgia"/>
          <w:b/>
          <w:color w:val="000000"/>
        </w:rPr>
        <w:t>fast acute window</w:t>
      </w:r>
      <w:r>
        <w:rPr>
          <w:rFonts w:eastAsia="Georgia" w:hAnsi="Georgia" w:cs="Georgia"/>
          <w:color w:val="000000"/>
        </w:rPr>
        <w:t xml:space="preserve"> (tens of minutes to a few hours) for gene and neurotransmitter shifts.</w:t>
      </w:r>
    </w:p>
    <w:p w14:paraId="6A6E0A03" w14:textId="77777777" w:rsidR="00356EAC" w:rsidRDefault="00000000">
      <w:pPr>
        <w:numPr>
          <w:ilvl w:val="0"/>
          <w:numId w:val="5"/>
        </w:numPr>
        <w:spacing w:before="105" w:after="105" w:line="360" w:lineRule="auto"/>
      </w:pPr>
      <w:r>
        <w:rPr>
          <w:rFonts w:eastAsia="Georgia" w:hAnsi="Georgia" w:cs="Georgia"/>
          <w:color w:val="000000"/>
        </w:rPr>
        <w:t xml:space="preserve">A </w:t>
      </w:r>
      <w:r>
        <w:rPr>
          <w:rFonts w:eastAsia="Georgia" w:hAnsi="Georgia" w:cs="Georgia"/>
          <w:b/>
          <w:color w:val="000000"/>
        </w:rPr>
        <w:t>multi‑day window</w:t>
      </w:r>
      <w:r>
        <w:rPr>
          <w:rFonts w:eastAsia="Georgia" w:hAnsi="Georgia" w:cs="Georgia"/>
          <w:color w:val="000000"/>
        </w:rPr>
        <w:t xml:space="preserve"> for more stable behavioural and trophic changes.</w:t>
      </w:r>
    </w:p>
    <w:p w14:paraId="1A82F779" w14:textId="77777777" w:rsidR="00356EAC" w:rsidRDefault="00CB43B1">
      <w:pPr>
        <w:spacing w:before="210" w:after="0" w:line="360" w:lineRule="auto"/>
      </w:pPr>
      <w:r>
        <w:rPr>
          <w:noProof/>
        </w:rPr>
      </w:r>
      <w:r>
        <w:rPr>
          <w:noProof/>
        </w:rPr>
        <w:pict w14:anchorId="027C29A1">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5CA364" w14:textId="77777777" w:rsidR="00356EAC" w:rsidRDefault="00000000">
      <w:pPr>
        <w:spacing w:before="315" w:after="105" w:line="360" w:lineRule="auto"/>
        <w:ind w:left="-30"/>
      </w:pPr>
      <w:bookmarkStart w:id="31" w:name="bm_5_mg_vs_10_mg_vials_in_lab_protocols"/>
      <w:r>
        <w:rPr>
          <w:rFonts w:eastAsia="Georgia" w:hAnsi="Georgia" w:cs="Georgia"/>
          <w:b/>
          <w:color w:val="000000"/>
          <w:sz w:val="24"/>
        </w:rPr>
        <w:t>5 mg vs 10 mg Vials in Lab Protocols</w:t>
      </w:r>
      <w:bookmarkEnd w:id="31"/>
    </w:p>
    <w:p w14:paraId="55F50347" w14:textId="77777777" w:rsidR="00356EAC" w:rsidRDefault="00000000">
      <w:pPr>
        <w:spacing w:after="210" w:line="360" w:lineRule="auto"/>
      </w:pPr>
      <w:r>
        <w:rPr>
          <w:rFonts w:eastAsia="Georgia" w:hAnsi="Georgia" w:cs="Georgia"/>
          <w:color w:val="000000"/>
        </w:rPr>
        <w:t xml:space="preserve">Commercial research suppliers frequently offer Selank in </w:t>
      </w:r>
      <w:r>
        <w:rPr>
          <w:rFonts w:eastAsia="Georgia" w:hAnsi="Georgia" w:cs="Georgia"/>
          <w:b/>
          <w:color w:val="000000"/>
        </w:rPr>
        <w:t>5 mg</w:t>
      </w:r>
      <w:r>
        <w:rPr>
          <w:rFonts w:eastAsia="Georgia" w:hAnsi="Georgia" w:cs="Georgia"/>
          <w:color w:val="000000"/>
        </w:rPr>
        <w:t xml:space="preserve"> and </w:t>
      </w:r>
      <w:r>
        <w:rPr>
          <w:rFonts w:eastAsia="Georgia" w:hAnsi="Georgia" w:cs="Georgia"/>
          <w:b/>
          <w:color w:val="000000"/>
        </w:rPr>
        <w:t>10 mg</w:t>
      </w:r>
      <w:r>
        <w:rPr>
          <w:rFonts w:eastAsia="Georgia" w:hAnsi="Georgia" w:cs="Georgia"/>
          <w:color w:val="000000"/>
        </w:rPr>
        <w:t xml:space="preserve"> vials, which labs use differently depending on study design.</w:t>
      </w:r>
      <w:bookmarkStart w:id="32" w:name="fnref10"/>
      <w:bookmarkEnd w:id="32"/>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33" w:name="fnref3_4"/>
      <w:bookmarkEnd w:id="3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38B8D5D" w14:textId="77777777" w:rsidR="00356EAC" w:rsidRDefault="00000000">
      <w:pPr>
        <w:spacing w:before="315" w:after="105" w:line="360" w:lineRule="auto"/>
        <w:ind w:left="-30"/>
      </w:pPr>
      <w:bookmarkStart w:id="34" w:name="bm_5_mg_vials"/>
      <w:r>
        <w:rPr>
          <w:rFonts w:eastAsia="Georgia" w:hAnsi="Georgia" w:cs="Georgia"/>
          <w:b/>
          <w:color w:val="000000"/>
          <w:sz w:val="24"/>
        </w:rPr>
        <w:t>5 mg vials</w:t>
      </w:r>
      <w:bookmarkEnd w:id="34"/>
    </w:p>
    <w:p w14:paraId="0BBB0912" w14:textId="77777777" w:rsidR="00356EAC" w:rsidRDefault="00000000">
      <w:pPr>
        <w:spacing w:after="210" w:line="360" w:lineRule="auto"/>
      </w:pPr>
      <w:r>
        <w:rPr>
          <w:rFonts w:eastAsia="Georgia" w:hAnsi="Georgia" w:cs="Georgia"/>
          <w:color w:val="000000"/>
        </w:rPr>
        <w:t>These are convenient when:</w:t>
      </w:r>
    </w:p>
    <w:p w14:paraId="2157BAAD" w14:textId="77777777" w:rsidR="00356EAC" w:rsidRDefault="00000000">
      <w:pPr>
        <w:numPr>
          <w:ilvl w:val="0"/>
          <w:numId w:val="6"/>
        </w:numPr>
        <w:spacing w:before="105" w:after="105" w:line="360" w:lineRule="auto"/>
      </w:pPr>
      <w:r>
        <w:rPr>
          <w:rFonts w:eastAsia="Georgia" w:hAnsi="Georgia" w:cs="Georgia"/>
          <w:color w:val="000000"/>
        </w:rPr>
        <w:t xml:space="preserve">Running </w:t>
      </w:r>
      <w:r>
        <w:rPr>
          <w:rFonts w:eastAsia="Georgia" w:hAnsi="Georgia" w:cs="Georgia"/>
          <w:b/>
          <w:color w:val="000000"/>
        </w:rPr>
        <w:t>acute or pilot experiments</w:t>
      </w:r>
      <w:r>
        <w:rPr>
          <w:rFonts w:eastAsia="Georgia" w:hAnsi="Georgia" w:cs="Georgia"/>
          <w:color w:val="000000"/>
        </w:rPr>
        <w:t>, where only a limited number of intranasal doses are needed.</w:t>
      </w:r>
    </w:p>
    <w:p w14:paraId="3DA14F19" w14:textId="77777777" w:rsidR="00356EAC" w:rsidRDefault="00000000">
      <w:pPr>
        <w:numPr>
          <w:ilvl w:val="0"/>
          <w:numId w:val="6"/>
        </w:numPr>
        <w:spacing w:before="105" w:after="105" w:line="360" w:lineRule="auto"/>
      </w:pPr>
      <w:r>
        <w:rPr>
          <w:rFonts w:eastAsia="Georgia" w:hAnsi="Georgia" w:cs="Georgia"/>
          <w:color w:val="000000"/>
        </w:rPr>
        <w:lastRenderedPageBreak/>
        <w:t xml:space="preserve">Exploring </w:t>
      </w:r>
      <w:r>
        <w:rPr>
          <w:rFonts w:eastAsia="Georgia" w:hAnsi="Georgia" w:cs="Georgia"/>
          <w:b/>
          <w:color w:val="000000"/>
        </w:rPr>
        <w:t>dose–response curves</w:t>
      </w:r>
      <w:r>
        <w:rPr>
          <w:rFonts w:eastAsia="Georgia" w:hAnsi="Georgia" w:cs="Georgia"/>
          <w:color w:val="000000"/>
        </w:rPr>
        <w:t xml:space="preserve"> with relatively modest total peptide usage.</w:t>
      </w:r>
    </w:p>
    <w:p w14:paraId="70643A29" w14:textId="77777777" w:rsidR="00356EAC" w:rsidRDefault="00000000">
      <w:pPr>
        <w:spacing w:after="210" w:line="360" w:lineRule="auto"/>
      </w:pPr>
      <w:r>
        <w:rPr>
          <w:rFonts w:eastAsia="Georgia" w:hAnsi="Georgia" w:cs="Georgia"/>
          <w:color w:val="000000"/>
        </w:rPr>
        <w:t>In this context, labs often report:</w:t>
      </w:r>
    </w:p>
    <w:p w14:paraId="50182D0E" w14:textId="77777777" w:rsidR="00356EAC" w:rsidRDefault="00000000">
      <w:pPr>
        <w:numPr>
          <w:ilvl w:val="0"/>
          <w:numId w:val="7"/>
        </w:numPr>
        <w:spacing w:before="105" w:after="105" w:line="360" w:lineRule="auto"/>
      </w:pPr>
      <w:r>
        <w:rPr>
          <w:rFonts w:eastAsia="Georgia" w:hAnsi="Georgia" w:cs="Georgia"/>
          <w:color w:val="000000"/>
        </w:rPr>
        <w:t xml:space="preserve">Clear early changes in anxiety‑like behaviour in established rodent tests within the first </w:t>
      </w:r>
      <w:r>
        <w:rPr>
          <w:rFonts w:eastAsia="Georgia" w:hAnsi="Georgia" w:cs="Georgia"/>
          <w:b/>
          <w:color w:val="000000"/>
        </w:rPr>
        <w:t>30–60 minutes</w:t>
      </w:r>
      <w:r>
        <w:rPr>
          <w:rFonts w:eastAsia="Georgia" w:hAnsi="Georgia" w:cs="Georgia"/>
          <w:color w:val="000000"/>
        </w:rPr>
        <w:t xml:space="preserve"> after dosing.</w:t>
      </w:r>
    </w:p>
    <w:p w14:paraId="4A855D28" w14:textId="77777777" w:rsidR="00356EAC" w:rsidRDefault="00000000">
      <w:pPr>
        <w:numPr>
          <w:ilvl w:val="0"/>
          <w:numId w:val="7"/>
        </w:numPr>
        <w:spacing w:before="105" w:after="105" w:line="360" w:lineRule="auto"/>
      </w:pPr>
      <w:r>
        <w:rPr>
          <w:rFonts w:eastAsia="Georgia" w:hAnsi="Georgia" w:cs="Georgia"/>
          <w:color w:val="000000"/>
        </w:rPr>
        <w:t xml:space="preserve">Initial shifts in neurotrophic markers such as BDNF and its receptor TrkB within the first </w:t>
      </w:r>
      <w:r>
        <w:rPr>
          <w:rFonts w:eastAsia="Georgia" w:hAnsi="Georgia" w:cs="Georgia"/>
          <w:b/>
          <w:color w:val="000000"/>
        </w:rPr>
        <w:t>hour or two</w:t>
      </w:r>
      <w:r>
        <w:rPr>
          <w:rFonts w:eastAsia="Georgia" w:hAnsi="Georgia" w:cs="Georgia"/>
          <w:color w:val="000000"/>
        </w:rPr>
        <w:t xml:space="preserve"> in hippocampal samples.</w:t>
      </w:r>
      <w:bookmarkStart w:id="35" w:name="fnref8_2"/>
      <w:bookmarkEnd w:id="35"/>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36" w:name="fnref4_4"/>
      <w:bookmarkEnd w:id="3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37" w:name="fnref1_5"/>
      <w:bookmarkEnd w:id="3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7953B705" w14:textId="77777777" w:rsidR="00356EAC" w:rsidRDefault="00000000">
      <w:pPr>
        <w:spacing w:before="315" w:after="105" w:line="360" w:lineRule="auto"/>
        <w:ind w:left="-30"/>
      </w:pPr>
      <w:bookmarkStart w:id="38" w:name="bm_10_mg_vials"/>
      <w:r>
        <w:rPr>
          <w:rFonts w:eastAsia="Georgia" w:hAnsi="Georgia" w:cs="Georgia"/>
          <w:b/>
          <w:color w:val="000000"/>
          <w:sz w:val="24"/>
        </w:rPr>
        <w:t>10 mg vials</w:t>
      </w:r>
      <w:bookmarkEnd w:id="38"/>
    </w:p>
    <w:p w14:paraId="1BA145D0" w14:textId="77777777" w:rsidR="00356EAC" w:rsidRDefault="00000000">
      <w:pPr>
        <w:spacing w:after="210" w:line="360" w:lineRule="auto"/>
      </w:pPr>
      <w:r>
        <w:rPr>
          <w:rFonts w:eastAsia="Georgia" w:hAnsi="Georgia" w:cs="Georgia"/>
          <w:color w:val="000000"/>
        </w:rPr>
        <w:t>Larger vials are mainly used when:</w:t>
      </w:r>
    </w:p>
    <w:p w14:paraId="14FFEDF1" w14:textId="77777777" w:rsidR="00356EAC" w:rsidRDefault="00000000">
      <w:pPr>
        <w:numPr>
          <w:ilvl w:val="0"/>
          <w:numId w:val="8"/>
        </w:numPr>
        <w:spacing w:before="105" w:after="105" w:line="360" w:lineRule="auto"/>
      </w:pPr>
      <w:r>
        <w:rPr>
          <w:rFonts w:eastAsia="Georgia" w:hAnsi="Georgia" w:cs="Georgia"/>
          <w:color w:val="000000"/>
        </w:rPr>
        <w:t xml:space="preserve">Designing </w:t>
      </w:r>
      <w:r>
        <w:rPr>
          <w:rFonts w:eastAsia="Georgia" w:hAnsi="Georgia" w:cs="Georgia"/>
          <w:b/>
          <w:color w:val="000000"/>
        </w:rPr>
        <w:t>longer protocols</w:t>
      </w:r>
      <w:r>
        <w:rPr>
          <w:rFonts w:eastAsia="Georgia" w:hAnsi="Georgia" w:cs="Georgia"/>
          <w:color w:val="000000"/>
        </w:rPr>
        <w:t xml:space="preserve"> (for example, 7–14 days of daily dosing).</w:t>
      </w:r>
    </w:p>
    <w:p w14:paraId="395804ED" w14:textId="77777777" w:rsidR="00356EAC" w:rsidRDefault="00000000">
      <w:pPr>
        <w:numPr>
          <w:ilvl w:val="0"/>
          <w:numId w:val="8"/>
        </w:numPr>
        <w:spacing w:before="105" w:after="105" w:line="360" w:lineRule="auto"/>
      </w:pPr>
      <w:r>
        <w:rPr>
          <w:rFonts w:eastAsia="Georgia" w:hAnsi="Georgia" w:cs="Georgia"/>
          <w:color w:val="000000"/>
        </w:rPr>
        <w:t>Running multiple cohorts that need stable dosing without constant reconstitution.</w:t>
      </w:r>
    </w:p>
    <w:p w14:paraId="00C1D1CA" w14:textId="77777777" w:rsidR="00356EAC" w:rsidRDefault="00000000">
      <w:pPr>
        <w:spacing w:after="210" w:line="360" w:lineRule="auto"/>
      </w:pPr>
      <w:r>
        <w:rPr>
          <w:rFonts w:eastAsia="Georgia" w:hAnsi="Georgia" w:cs="Georgia"/>
          <w:color w:val="000000"/>
        </w:rPr>
        <w:t>In those settings, investigators have described:</w:t>
      </w:r>
    </w:p>
    <w:p w14:paraId="2699F61F" w14:textId="77777777" w:rsidR="00356EAC" w:rsidRDefault="00000000">
      <w:pPr>
        <w:numPr>
          <w:ilvl w:val="0"/>
          <w:numId w:val="9"/>
        </w:numPr>
        <w:spacing w:before="105" w:after="105" w:line="360" w:lineRule="auto"/>
      </w:pPr>
      <w:r>
        <w:rPr>
          <w:rFonts w:eastAsia="Georgia" w:hAnsi="Georgia" w:cs="Georgia"/>
          <w:color w:val="000000"/>
        </w:rPr>
        <w:t xml:space="preserve">More sustained anxiolytic‑like effects over </w:t>
      </w:r>
      <w:r>
        <w:rPr>
          <w:rFonts w:eastAsia="Georgia" w:hAnsi="Georgia" w:cs="Georgia"/>
          <w:b/>
          <w:color w:val="000000"/>
        </w:rPr>
        <w:t>6–12 hours</w:t>
      </w:r>
      <w:r>
        <w:rPr>
          <w:rFonts w:eastAsia="Georgia" w:hAnsi="Georgia" w:cs="Georgia"/>
          <w:color w:val="000000"/>
        </w:rPr>
        <w:t xml:space="preserve"> after single administrations, depending on dose and strain.</w:t>
      </w:r>
      <w:bookmarkStart w:id="39" w:name="fnref5_2"/>
      <w:bookmarkEnd w:id="3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40" w:name="fnref9_2"/>
      <w:bookmarkEnd w:id="40"/>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7B83BE87" w14:textId="77777777" w:rsidR="00356EAC" w:rsidRDefault="00000000">
      <w:pPr>
        <w:numPr>
          <w:ilvl w:val="0"/>
          <w:numId w:val="9"/>
        </w:numPr>
        <w:spacing w:before="105" w:after="105" w:line="360" w:lineRule="auto"/>
      </w:pPr>
      <w:r>
        <w:rPr>
          <w:rFonts w:eastAsia="Georgia" w:hAnsi="Georgia" w:cs="Georgia"/>
          <w:color w:val="000000"/>
        </w:rPr>
        <w:t>Stronger modulation of GABA‑related gene expression and inflammatory markers across repeated dosing courses.</w:t>
      </w:r>
      <w:bookmarkStart w:id="41" w:name="fnref5_3"/>
      <w:bookmarkEnd w:id="41"/>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42" w:name="fnref1_6"/>
      <w:bookmarkEnd w:id="4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8314063" w14:textId="77777777" w:rsidR="00356EAC" w:rsidRDefault="00000000">
      <w:pPr>
        <w:numPr>
          <w:ilvl w:val="0"/>
          <w:numId w:val="9"/>
        </w:numPr>
        <w:spacing w:before="105" w:after="105" w:line="360" w:lineRule="auto"/>
      </w:pPr>
      <w:r>
        <w:rPr>
          <w:rFonts w:eastAsia="Georgia" w:hAnsi="Georgia" w:cs="Georgia"/>
          <w:color w:val="000000"/>
        </w:rPr>
        <w:t>Enhanced stress‑adaptation or neuroprotection readouts in chronic stress or ischemia models, when Selank is given repeatedly at research‑range doses.</w:t>
      </w:r>
      <w:bookmarkStart w:id="43" w:name="fnref9_3"/>
      <w:bookmarkEnd w:id="43"/>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44" w:name="fnref8_3"/>
      <w:bookmarkEnd w:id="44"/>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647FD115" w14:textId="77777777" w:rsidR="00356EAC" w:rsidRDefault="00000000">
      <w:pPr>
        <w:spacing w:after="210" w:line="360" w:lineRule="auto"/>
      </w:pPr>
      <w:r>
        <w:rPr>
          <w:rFonts w:eastAsia="Georgia" w:hAnsi="Georgia" w:cs="Georgia"/>
          <w:color w:val="000000"/>
        </w:rPr>
        <w:t xml:space="preserve">The difference between 5 mg and 10 mg vials is therefore mostly </w:t>
      </w:r>
      <w:r>
        <w:rPr>
          <w:rFonts w:eastAsia="Georgia" w:hAnsi="Georgia" w:cs="Georgia"/>
          <w:b/>
          <w:color w:val="000000"/>
        </w:rPr>
        <w:t>practical and protocol‑driven</w:t>
      </w:r>
      <w:r>
        <w:rPr>
          <w:rFonts w:eastAsia="Georgia" w:hAnsi="Georgia" w:cs="Georgia"/>
          <w:color w:val="000000"/>
        </w:rPr>
        <w:t>: not different molecules, but different total quantity available for single or repeated dosing schedules.</w:t>
      </w:r>
    </w:p>
    <w:p w14:paraId="1684F889" w14:textId="77777777" w:rsidR="00356EAC" w:rsidRDefault="00CB43B1">
      <w:pPr>
        <w:spacing w:before="210" w:after="0" w:line="360" w:lineRule="auto"/>
      </w:pPr>
      <w:r>
        <w:rPr>
          <w:noProof/>
        </w:rPr>
      </w:r>
      <w:r>
        <w:rPr>
          <w:noProof/>
        </w:rPr>
        <w:pict w14:anchorId="050C581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3F5473" w14:textId="77777777" w:rsidR="00356EAC" w:rsidRDefault="00000000">
      <w:pPr>
        <w:spacing w:before="315" w:after="105" w:line="360" w:lineRule="auto"/>
        <w:ind w:left="-30"/>
      </w:pPr>
      <w:bookmarkStart w:id="45" w:name="factors_that_influence_onset_in_e_134325"/>
      <w:r>
        <w:rPr>
          <w:rFonts w:eastAsia="Georgia" w:hAnsi="Georgia" w:cs="Georgia"/>
          <w:b/>
          <w:color w:val="000000"/>
          <w:sz w:val="24"/>
        </w:rPr>
        <w:t>Factors That Influence Onset in Experiments</w:t>
      </w:r>
      <w:bookmarkEnd w:id="45"/>
    </w:p>
    <w:p w14:paraId="4697677D" w14:textId="77777777" w:rsidR="00356EAC" w:rsidRDefault="00000000">
      <w:pPr>
        <w:spacing w:after="210" w:line="360" w:lineRule="auto"/>
      </w:pPr>
      <w:r>
        <w:rPr>
          <w:rFonts w:eastAsia="Georgia" w:hAnsi="Georgia" w:cs="Georgia"/>
          <w:color w:val="000000"/>
        </w:rPr>
        <w:t>Several variables can change how quickly effects show up in a lab setting:</w:t>
      </w:r>
    </w:p>
    <w:p w14:paraId="396A0A97" w14:textId="77777777" w:rsidR="00356EAC" w:rsidRDefault="00000000">
      <w:pPr>
        <w:numPr>
          <w:ilvl w:val="0"/>
          <w:numId w:val="10"/>
        </w:numPr>
        <w:spacing w:before="105" w:after="105" w:line="360" w:lineRule="auto"/>
      </w:pPr>
      <w:r>
        <w:rPr>
          <w:rFonts w:eastAsia="Georgia" w:hAnsi="Georgia" w:cs="Georgia"/>
          <w:b/>
          <w:color w:val="000000"/>
        </w:rPr>
        <w:t>Route</w:t>
      </w:r>
      <w:r>
        <w:rPr>
          <w:rFonts w:eastAsia="Georgia" w:hAnsi="Georgia" w:cs="Georgia"/>
          <w:color w:val="000000"/>
        </w:rPr>
        <w:t>: Intranasal delivery is faster for CNS effects than subcutaneous or intraperitoneal routes because it can move along olfactory and trigeminal pathways directly to brain tissue.</w:t>
      </w:r>
      <w:bookmarkStart w:id="46" w:name="fnref6_2"/>
      <w:bookmarkEnd w:id="46"/>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47" w:name="fnref7_2"/>
      <w:bookmarkEnd w:id="47"/>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48" w:name="fnref1_7"/>
      <w:bookmarkEnd w:id="4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34251713" w14:textId="77777777" w:rsidR="00356EAC" w:rsidRDefault="00000000">
      <w:pPr>
        <w:numPr>
          <w:ilvl w:val="0"/>
          <w:numId w:val="10"/>
        </w:numPr>
        <w:spacing w:before="105" w:after="105" w:line="360" w:lineRule="auto"/>
      </w:pPr>
      <w:r>
        <w:rPr>
          <w:rFonts w:eastAsia="Georgia" w:hAnsi="Georgia" w:cs="Georgia"/>
          <w:b/>
          <w:color w:val="000000"/>
        </w:rPr>
        <w:t>Dose within research ranges</w:t>
      </w:r>
      <w:r>
        <w:rPr>
          <w:rFonts w:eastAsia="Georgia" w:hAnsi="Georgia" w:cs="Georgia"/>
          <w:color w:val="000000"/>
        </w:rPr>
        <w:t>: Higher experimental doses (within safety limits for the model) often create clearer and earlier changes, though they may also increase off‑target effects.</w:t>
      </w:r>
      <w:bookmarkStart w:id="49" w:name="fnref3_5"/>
      <w:bookmarkEnd w:id="4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0" w:name="fnref5_4"/>
      <w:bookmarkEnd w:id="50"/>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0DF3140A" w14:textId="77777777" w:rsidR="00356EAC" w:rsidRDefault="00000000">
      <w:pPr>
        <w:numPr>
          <w:ilvl w:val="0"/>
          <w:numId w:val="10"/>
        </w:numPr>
        <w:spacing w:before="105" w:after="105" w:line="360" w:lineRule="auto"/>
      </w:pPr>
      <w:r>
        <w:rPr>
          <w:rFonts w:eastAsia="Georgia" w:hAnsi="Georgia" w:cs="Georgia"/>
          <w:b/>
          <w:color w:val="000000"/>
        </w:rPr>
        <w:lastRenderedPageBreak/>
        <w:t>Baseline state of the model</w:t>
      </w:r>
      <w:r>
        <w:rPr>
          <w:rFonts w:eastAsia="Georgia" w:hAnsi="Georgia" w:cs="Georgia"/>
          <w:color w:val="000000"/>
        </w:rPr>
        <w:t>: Animals with high stress or anxiety baselines may show more pronounced anxiolytic responses than healthy controls.</w:t>
      </w:r>
      <w:bookmarkStart w:id="51" w:name="fnref9_4"/>
      <w:bookmarkEnd w:id="51"/>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415478D5" w14:textId="77777777" w:rsidR="00356EAC" w:rsidRDefault="00000000">
      <w:pPr>
        <w:numPr>
          <w:ilvl w:val="0"/>
          <w:numId w:val="10"/>
        </w:numPr>
        <w:spacing w:before="105" w:after="105" w:line="360" w:lineRule="auto"/>
      </w:pPr>
      <w:r>
        <w:rPr>
          <w:rFonts w:eastAsia="Georgia" w:hAnsi="Georgia" w:cs="Georgia"/>
          <w:b/>
          <w:color w:val="000000"/>
        </w:rPr>
        <w:t>Administration technique</w:t>
      </w:r>
      <w:r>
        <w:rPr>
          <w:rFonts w:eastAsia="Georgia" w:hAnsi="Georgia" w:cs="Georgia"/>
          <w:color w:val="000000"/>
        </w:rPr>
        <w:t>: Correct nasal positioning, even spray or droplet distribution, and avoiding rapid drainage into the throat all contribute to more efficient nose‑to‑brain delivery.</w:t>
      </w:r>
      <w:bookmarkStart w:id="52" w:name="fnref11"/>
      <w:bookmarkEnd w:id="52"/>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53" w:name="fnref6_3"/>
      <w:bookmarkEnd w:id="53"/>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60AC5BDE" w14:textId="77777777" w:rsidR="00356EAC" w:rsidRDefault="00000000">
      <w:pPr>
        <w:spacing w:after="210" w:line="360" w:lineRule="auto"/>
      </w:pPr>
      <w:r>
        <w:rPr>
          <w:rFonts w:eastAsia="Georgia" w:hAnsi="Georgia" w:cs="Georgia"/>
          <w:color w:val="000000"/>
        </w:rPr>
        <w:t>Because of these variables, onset times reported across papers can vary, even when they use similar doses.</w:t>
      </w:r>
    </w:p>
    <w:p w14:paraId="4F4D4158" w14:textId="77777777" w:rsidR="00356EAC" w:rsidRDefault="00CB43B1">
      <w:pPr>
        <w:spacing w:before="210" w:after="0" w:line="360" w:lineRule="auto"/>
      </w:pPr>
      <w:r>
        <w:rPr>
          <w:noProof/>
        </w:rPr>
      </w:r>
      <w:r>
        <w:rPr>
          <w:noProof/>
        </w:rPr>
        <w:pict w14:anchorId="42B61747">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D0A3CF" w14:textId="77777777" w:rsidR="00356EAC" w:rsidRDefault="00000000">
      <w:pPr>
        <w:spacing w:before="315" w:after="105" w:line="360" w:lineRule="auto"/>
        <w:ind w:left="-30"/>
      </w:pPr>
      <w:bookmarkStart w:id="54" w:name="important_caveats_and_safety_frame"/>
      <w:r>
        <w:rPr>
          <w:rFonts w:eastAsia="Georgia" w:hAnsi="Georgia" w:cs="Georgia"/>
          <w:b/>
          <w:color w:val="000000"/>
          <w:sz w:val="24"/>
        </w:rPr>
        <w:t>Important Caveats and Safety Frame</w:t>
      </w:r>
      <w:bookmarkEnd w:id="54"/>
    </w:p>
    <w:p w14:paraId="1C292A0C" w14:textId="77777777" w:rsidR="00356EAC" w:rsidRDefault="00000000">
      <w:pPr>
        <w:spacing w:after="210" w:line="360" w:lineRule="auto"/>
      </w:pPr>
      <w:r>
        <w:rPr>
          <w:rFonts w:eastAsia="Georgia" w:hAnsi="Georgia" w:cs="Georgia"/>
          <w:color w:val="000000"/>
        </w:rPr>
        <w:t>Despite the interesting profile of Selank in preclinical work, several limitations are important:</w:t>
      </w:r>
    </w:p>
    <w:p w14:paraId="723ECCC6" w14:textId="77777777" w:rsidR="00356EAC" w:rsidRDefault="00000000">
      <w:pPr>
        <w:numPr>
          <w:ilvl w:val="0"/>
          <w:numId w:val="11"/>
        </w:numPr>
        <w:spacing w:before="105" w:after="105" w:line="360" w:lineRule="auto"/>
      </w:pPr>
      <w:r>
        <w:rPr>
          <w:rFonts w:eastAsia="Georgia" w:hAnsi="Georgia" w:cs="Georgia"/>
          <w:color w:val="000000"/>
        </w:rPr>
        <w:t xml:space="preserve">Most detailed studies come from </w:t>
      </w:r>
      <w:r>
        <w:rPr>
          <w:rFonts w:eastAsia="Georgia" w:hAnsi="Georgia" w:cs="Georgia"/>
          <w:b/>
          <w:color w:val="000000"/>
        </w:rPr>
        <w:t>animal models and small pilot trials</w:t>
      </w:r>
      <w:r>
        <w:rPr>
          <w:rFonts w:eastAsia="Georgia" w:hAnsi="Georgia" w:cs="Georgia"/>
          <w:color w:val="000000"/>
        </w:rPr>
        <w:t>, with relatively few large, Western randomized controlled trials.</w:t>
      </w:r>
      <w:bookmarkStart w:id="55" w:name="fnref1_8"/>
      <w:bookmarkEnd w:id="5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56" w:name="fnref5_5"/>
      <w:bookmarkEnd w:id="56"/>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E42AD88" w14:textId="77777777" w:rsidR="00356EAC" w:rsidRDefault="00000000">
      <w:pPr>
        <w:numPr>
          <w:ilvl w:val="0"/>
          <w:numId w:val="11"/>
        </w:numPr>
        <w:spacing w:before="105" w:after="105" w:line="360" w:lineRule="auto"/>
      </w:pPr>
      <w:r>
        <w:rPr>
          <w:rFonts w:eastAsia="Georgia" w:hAnsi="Georgia" w:cs="Georgia"/>
          <w:color w:val="000000"/>
        </w:rPr>
        <w:t>Long‑term human safety, especially with chronic intranasal use, is not well mapped in the international literature.</w:t>
      </w:r>
      <w:bookmarkStart w:id="57" w:name="fnref5_6"/>
      <w:bookmarkEnd w:id="5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0F081FF0" w14:textId="77777777" w:rsidR="00356EAC" w:rsidRDefault="00000000">
      <w:pPr>
        <w:numPr>
          <w:ilvl w:val="0"/>
          <w:numId w:val="11"/>
        </w:numPr>
        <w:spacing w:before="105" w:after="105" w:line="360" w:lineRule="auto"/>
      </w:pPr>
      <w:r>
        <w:rPr>
          <w:rFonts w:eastAsia="Georgia" w:hAnsi="Georgia" w:cs="Georgia"/>
          <w:color w:val="000000"/>
        </w:rPr>
        <w:t xml:space="preserve">Selank is not on major regulators’ lists of approved therapeutic peptides and is sold by specialty vendors strictly as a </w:t>
      </w:r>
      <w:r>
        <w:rPr>
          <w:rFonts w:eastAsia="Georgia" w:hAnsi="Georgia" w:cs="Georgia"/>
          <w:b/>
          <w:color w:val="000000"/>
        </w:rPr>
        <w:t>research‑only compound</w:t>
      </w:r>
      <w:r>
        <w:rPr>
          <w:rFonts w:eastAsia="Georgia" w:hAnsi="Georgia" w:cs="Georgia"/>
          <w:color w:val="000000"/>
        </w:rPr>
        <w:t>.</w:t>
      </w:r>
      <w:bookmarkStart w:id="58" w:name="fnref10_1"/>
      <w:bookmarkEnd w:id="58"/>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59" w:name="fnref3_6"/>
      <w:bookmarkEnd w:id="5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5BDF275" w14:textId="77777777" w:rsidR="00356EAC" w:rsidRDefault="00000000">
      <w:pPr>
        <w:spacing w:after="210" w:line="360" w:lineRule="auto"/>
      </w:pPr>
      <w:r>
        <w:rPr>
          <w:rFonts w:eastAsia="Georgia" w:hAnsi="Georgia" w:cs="Georgia"/>
          <w:color w:val="000000"/>
        </w:rPr>
        <w:t xml:space="preserve">Because of this, any discussion of dosing, vial size, or onset speed belongs firmly inside </w:t>
      </w:r>
      <w:r>
        <w:rPr>
          <w:rFonts w:eastAsia="Georgia" w:hAnsi="Georgia" w:cs="Georgia"/>
          <w:b/>
          <w:color w:val="000000"/>
        </w:rPr>
        <w:t>controlled laboratory environments</w:t>
      </w:r>
      <w:r>
        <w:rPr>
          <w:rFonts w:eastAsia="Georgia" w:hAnsi="Georgia" w:cs="Georgia"/>
          <w:color w:val="000000"/>
        </w:rPr>
        <w:t xml:space="preserve"> with ethics approval, not in self‑experimentation.</w:t>
      </w:r>
    </w:p>
    <w:p w14:paraId="230B5C28" w14:textId="77777777" w:rsidR="00356EAC" w:rsidRDefault="00CB43B1">
      <w:pPr>
        <w:spacing w:before="210" w:after="0" w:line="360" w:lineRule="auto"/>
      </w:pPr>
      <w:r>
        <w:rPr>
          <w:noProof/>
        </w:rPr>
      </w:r>
      <w:r>
        <w:rPr>
          <w:noProof/>
        </w:rPr>
        <w:pict w14:anchorId="050A4D62">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DB225B" w14:textId="77777777" w:rsidR="00356EAC" w:rsidRDefault="00000000">
      <w:pPr>
        <w:spacing w:after="210" w:line="360" w:lineRule="auto"/>
      </w:pPr>
      <w:r>
        <w:rPr>
          <w:rFonts w:eastAsia="Georgia" w:hAnsi="Georgia" w:cs="Georgia"/>
          <w:color w:val="000000"/>
        </w:rPr>
        <w:t>For your next PeptraBio blog, would you prefer something more general like “Nasal Peptide Delivery: How the Nose‑to‑Brain Route Works,” or another peptide‑specific piece similar to this one (for example on Semax or DSIP)?</w:t>
      </w:r>
      <w:r>
        <w:rPr>
          <w:rFonts w:eastAsia="Georgia" w:hAnsi="Georgia" w:cs="Georgia"/>
          <w:color w:val="000000"/>
        </w:rPr>
        <w:br/>
      </w:r>
    </w:p>
    <w:p w14:paraId="42C1BCE6" w14:textId="77777777" w:rsidR="00356EAC" w:rsidRDefault="00000000">
      <w:pPr>
        <w:spacing w:line="360" w:lineRule="auto"/>
      </w:pPr>
      <w:r>
        <w:rPr>
          <w:rFonts w:eastAsia="Georgia" w:hAnsi="Georgia" w:cs="Georgia"/>
          <w:color w:val="000000"/>
        </w:rPr>
        <w:t>⁂</w:t>
      </w:r>
    </w:p>
    <w:p w14:paraId="1D78941B" w14:textId="77777777" w:rsidR="00356EAC" w:rsidRDefault="00CB43B1">
      <w:pPr>
        <w:spacing w:before="210" w:after="0" w:line="360" w:lineRule="auto"/>
      </w:pPr>
      <w:r>
        <w:rPr>
          <w:noProof/>
        </w:rPr>
      </w:r>
      <w:r>
        <w:rPr>
          <w:noProof/>
        </w:rPr>
        <w:pict w14:anchorId="26F5EA62">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60" w:name="fn1"/>
    <w:bookmarkEnd w:id="60"/>
    <w:p w14:paraId="35D68D67" w14:textId="77777777" w:rsidR="00356EAC" w:rsidRDefault="00000000">
      <w:pPr>
        <w:numPr>
          <w:ilvl w:val="0"/>
          <w:numId w:val="13"/>
        </w:numPr>
        <w:spacing w:after="210" w:line="360" w:lineRule="auto"/>
      </w:pPr>
      <w:r>
        <w:fldChar w:fldCharType="begin"/>
      </w:r>
      <w:r>
        <w:instrText>HYPERLINK "https://pmc.ncbi.nlm.nih.gov/articles/PMC4757669/" \h</w:instrText>
      </w:r>
      <w:r>
        <w:fldChar w:fldCharType="separate"/>
      </w:r>
      <w:r>
        <w:rPr>
          <w:rFonts w:ascii="Helvetica Neue" w:eastAsia="Helvetica Neue" w:hAnsi="Helvetica Neue" w:cs="Helvetica Neue"/>
          <w:sz w:val="18"/>
          <w:u w:val="single"/>
        </w:rPr>
        <w:t>https://pmc.ncbi.nlm.nih.gov/articles/PMC4757669/</w:t>
      </w:r>
      <w:r>
        <w:fldChar w:fldCharType="end"/>
      </w:r>
      <w:r>
        <w:rPr>
          <w:rFonts w:eastAsia="Georgia" w:hAnsi="Georgia" w:cs="Georgia"/>
          <w:color w:val="000000"/>
          <w:sz w:val="18"/>
        </w:rPr>
        <w:t xml:space="preserve">         </w:t>
      </w:r>
    </w:p>
    <w:bookmarkStart w:id="61" w:name="fn2"/>
    <w:bookmarkEnd w:id="61"/>
    <w:p w14:paraId="02FB67BD" w14:textId="77777777" w:rsidR="00356EAC" w:rsidRDefault="00000000">
      <w:pPr>
        <w:numPr>
          <w:ilvl w:val="0"/>
          <w:numId w:val="13"/>
        </w:numPr>
        <w:spacing w:after="210" w:line="360" w:lineRule="auto"/>
      </w:pPr>
      <w:r>
        <w:fldChar w:fldCharType="begin"/>
      </w:r>
      <w:r>
        <w:instrText>HYPERLINK "https://jaycampbell.com/peptides/peptide-nasal-spray-vs-injection/" \h</w:instrText>
      </w:r>
      <w:r>
        <w:fldChar w:fldCharType="separate"/>
      </w:r>
      <w:r>
        <w:rPr>
          <w:rFonts w:ascii="Helvetica Neue" w:eastAsia="Helvetica Neue" w:hAnsi="Helvetica Neue" w:cs="Helvetica Neue"/>
          <w:sz w:val="18"/>
          <w:u w:val="single"/>
        </w:rPr>
        <w:t>https://jaycampbell.com/peptides/peptide-nasal-spray-vs-injection/</w:t>
      </w:r>
      <w:r>
        <w:fldChar w:fldCharType="end"/>
      </w:r>
      <w:r>
        <w:rPr>
          <w:rFonts w:eastAsia="Georgia" w:hAnsi="Georgia" w:cs="Georgia"/>
          <w:color w:val="000000"/>
          <w:sz w:val="18"/>
        </w:rPr>
        <w:t xml:space="preserve">  </w:t>
      </w:r>
    </w:p>
    <w:bookmarkStart w:id="62" w:name="fn3"/>
    <w:bookmarkEnd w:id="62"/>
    <w:p w14:paraId="01C75D6F" w14:textId="77777777" w:rsidR="00356EAC" w:rsidRDefault="00000000">
      <w:pPr>
        <w:numPr>
          <w:ilvl w:val="0"/>
          <w:numId w:val="13"/>
        </w:numPr>
        <w:spacing w:after="210" w:line="360" w:lineRule="auto"/>
      </w:pPr>
      <w:r>
        <w:fldChar w:fldCharType="begin"/>
      </w:r>
      <w:r>
        <w:instrText>HYPERLINK "https://orionpeptides.org/how-quickly-does-selank-start-working/" \h</w:instrText>
      </w:r>
      <w:r>
        <w:fldChar w:fldCharType="separate"/>
      </w:r>
      <w:r>
        <w:rPr>
          <w:rFonts w:ascii="Helvetica Neue" w:eastAsia="Helvetica Neue" w:hAnsi="Helvetica Neue" w:cs="Helvetica Neue"/>
          <w:sz w:val="18"/>
          <w:u w:val="single"/>
        </w:rPr>
        <w:t>https://orionpeptides.org/how-quickly-does-selank-start-working/</w:t>
      </w:r>
      <w:r>
        <w:fldChar w:fldCharType="end"/>
      </w:r>
      <w:r>
        <w:rPr>
          <w:rFonts w:eastAsia="Georgia" w:hAnsi="Georgia" w:cs="Georgia"/>
          <w:color w:val="000000"/>
          <w:sz w:val="18"/>
        </w:rPr>
        <w:t xml:space="preserve">       </w:t>
      </w:r>
    </w:p>
    <w:bookmarkStart w:id="63" w:name="fn4"/>
    <w:bookmarkEnd w:id="63"/>
    <w:p w14:paraId="58581F67" w14:textId="77777777" w:rsidR="00356EAC" w:rsidRDefault="00000000">
      <w:pPr>
        <w:numPr>
          <w:ilvl w:val="0"/>
          <w:numId w:val="13"/>
        </w:numPr>
        <w:spacing w:after="210" w:line="360" w:lineRule="auto"/>
      </w:pPr>
      <w:r>
        <w:fldChar w:fldCharType="begin"/>
      </w:r>
      <w:r>
        <w:instrText>HYPERLINK "https://pubmed.ncbi.nlm.nih.gov/18841804/" \h</w:instrText>
      </w:r>
      <w:r>
        <w:fldChar w:fldCharType="separate"/>
      </w:r>
      <w:r>
        <w:rPr>
          <w:rFonts w:ascii="Helvetica Neue" w:eastAsia="Helvetica Neue" w:hAnsi="Helvetica Neue" w:cs="Helvetica Neue"/>
          <w:sz w:val="18"/>
          <w:u w:val="single"/>
        </w:rPr>
        <w:t>https://pubmed.ncbi.nlm.nih.gov/18841804/</w:t>
      </w:r>
      <w:r>
        <w:fldChar w:fldCharType="end"/>
      </w:r>
      <w:r>
        <w:rPr>
          <w:rFonts w:eastAsia="Georgia" w:hAnsi="Georgia" w:cs="Georgia"/>
          <w:color w:val="000000"/>
          <w:sz w:val="18"/>
        </w:rPr>
        <w:t xml:space="preserve">     </w:t>
      </w:r>
    </w:p>
    <w:bookmarkStart w:id="64" w:name="fn5"/>
    <w:bookmarkEnd w:id="64"/>
    <w:p w14:paraId="47B9861C" w14:textId="77777777" w:rsidR="00356EAC" w:rsidRDefault="00000000">
      <w:pPr>
        <w:numPr>
          <w:ilvl w:val="0"/>
          <w:numId w:val="13"/>
        </w:numPr>
        <w:spacing w:after="210" w:line="360" w:lineRule="auto"/>
      </w:pPr>
      <w:r>
        <w:lastRenderedPageBreak/>
        <w:fldChar w:fldCharType="begin"/>
      </w:r>
      <w:r>
        <w:instrText>HYPERLINK "https://www.realpeptides.co/selank-amidate-generalized-anxiety-research/" \h</w:instrText>
      </w:r>
      <w:r>
        <w:fldChar w:fldCharType="separate"/>
      </w:r>
      <w:r>
        <w:rPr>
          <w:rFonts w:ascii="Helvetica Neue" w:eastAsia="Helvetica Neue" w:hAnsi="Helvetica Neue" w:cs="Helvetica Neue"/>
          <w:sz w:val="18"/>
          <w:u w:val="single"/>
        </w:rPr>
        <w:t>https://www.realpeptides.co/selank-amidate-generalized-anxiety-research/</w:t>
      </w:r>
      <w:r>
        <w:fldChar w:fldCharType="end"/>
      </w:r>
      <w:r>
        <w:rPr>
          <w:rFonts w:eastAsia="Georgia" w:hAnsi="Georgia" w:cs="Georgia"/>
          <w:color w:val="000000"/>
          <w:sz w:val="18"/>
        </w:rPr>
        <w:t xml:space="preserve">       </w:t>
      </w:r>
    </w:p>
    <w:bookmarkStart w:id="65" w:name="fn6"/>
    <w:bookmarkEnd w:id="65"/>
    <w:p w14:paraId="335AAE40" w14:textId="77777777" w:rsidR="00356EAC" w:rsidRDefault="00000000">
      <w:pPr>
        <w:numPr>
          <w:ilvl w:val="0"/>
          <w:numId w:val="13"/>
        </w:numPr>
        <w:spacing w:after="210" w:line="360" w:lineRule="auto"/>
      </w:pPr>
      <w:r>
        <w:fldChar w:fldCharType="begin"/>
      </w:r>
      <w:r>
        <w:instrText>HYPERLINK "https://pubmed.ncbi.nlm.nih.gov/41939439/" \h</w:instrText>
      </w:r>
      <w:r>
        <w:fldChar w:fldCharType="separate"/>
      </w:r>
      <w:r>
        <w:rPr>
          <w:rFonts w:ascii="Helvetica Neue" w:eastAsia="Helvetica Neue" w:hAnsi="Helvetica Neue" w:cs="Helvetica Neue"/>
          <w:sz w:val="18"/>
          <w:u w:val="single"/>
        </w:rPr>
        <w:t>https://pubmed.ncbi.nlm.nih.gov/41939439/</w:t>
      </w:r>
      <w:r>
        <w:fldChar w:fldCharType="end"/>
      </w:r>
      <w:r>
        <w:rPr>
          <w:rFonts w:eastAsia="Georgia" w:hAnsi="Georgia" w:cs="Georgia"/>
          <w:color w:val="000000"/>
          <w:sz w:val="18"/>
        </w:rPr>
        <w:t xml:space="preserve">    </w:t>
      </w:r>
    </w:p>
    <w:bookmarkStart w:id="66" w:name="fn7"/>
    <w:bookmarkEnd w:id="66"/>
    <w:p w14:paraId="38DB8B11" w14:textId="77777777" w:rsidR="00356EAC" w:rsidRDefault="00000000">
      <w:pPr>
        <w:numPr>
          <w:ilvl w:val="0"/>
          <w:numId w:val="13"/>
        </w:numPr>
        <w:spacing w:after="210" w:line="360" w:lineRule="auto"/>
      </w:pPr>
      <w:r>
        <w:fldChar w:fldCharType="begin"/>
      </w:r>
      <w:r>
        <w:instrText>HYPERLINK "https://pmc.ncbi.nlm.nih.gov/articles/PMC12090632/" \h</w:instrText>
      </w:r>
      <w:r>
        <w:fldChar w:fldCharType="separate"/>
      </w:r>
      <w:r>
        <w:rPr>
          <w:rFonts w:ascii="Helvetica Neue" w:eastAsia="Helvetica Neue" w:hAnsi="Helvetica Neue" w:cs="Helvetica Neue"/>
          <w:sz w:val="18"/>
          <w:u w:val="single"/>
        </w:rPr>
        <w:t>https://pmc.ncbi.nlm.nih.gov/articles/PMC12090632/</w:t>
      </w:r>
      <w:r>
        <w:fldChar w:fldCharType="end"/>
      </w:r>
      <w:r>
        <w:rPr>
          <w:rFonts w:eastAsia="Georgia" w:hAnsi="Georgia" w:cs="Georgia"/>
          <w:color w:val="000000"/>
          <w:sz w:val="18"/>
        </w:rPr>
        <w:t xml:space="preserve">   </w:t>
      </w:r>
    </w:p>
    <w:bookmarkStart w:id="67" w:name="fn8"/>
    <w:bookmarkEnd w:id="67"/>
    <w:p w14:paraId="5972DF65" w14:textId="77777777" w:rsidR="00356EAC" w:rsidRDefault="00000000">
      <w:pPr>
        <w:numPr>
          <w:ilvl w:val="0"/>
          <w:numId w:val="13"/>
        </w:numPr>
        <w:spacing w:after="210" w:line="360" w:lineRule="auto"/>
      </w:pPr>
      <w:r>
        <w:fldChar w:fldCharType="begin"/>
      </w:r>
      <w:r>
        <w:instrText>HYPERLINK "https://www.benchchem.com/pdf/Selank_Diacetate_and_its_Influence_on_Brain_Derived_Neurotrophic_Factor_A_Technical_Guide.pdf" \h</w:instrText>
      </w:r>
      <w:r>
        <w:fldChar w:fldCharType="separate"/>
      </w:r>
      <w:r>
        <w:rPr>
          <w:rFonts w:ascii="Helvetica Neue" w:eastAsia="Helvetica Neue" w:hAnsi="Helvetica Neue" w:cs="Helvetica Neue"/>
          <w:sz w:val="18"/>
          <w:u w:val="single"/>
        </w:rPr>
        <w:t>https://www.benchchem.com/pdf/Selank_Diacetate_and_its_Influence_on_Brain_Derived_Neurotrophic_Factor_A_Technical_Guide.pdf</w:t>
      </w:r>
      <w:r>
        <w:fldChar w:fldCharType="end"/>
      </w:r>
      <w:r>
        <w:rPr>
          <w:rFonts w:eastAsia="Georgia" w:hAnsi="Georgia" w:cs="Georgia"/>
          <w:color w:val="000000"/>
          <w:sz w:val="18"/>
        </w:rPr>
        <w:t xml:space="preserve">    </w:t>
      </w:r>
    </w:p>
    <w:bookmarkStart w:id="68" w:name="fn9"/>
    <w:bookmarkEnd w:id="68"/>
    <w:p w14:paraId="26F105D4" w14:textId="77777777" w:rsidR="00356EAC" w:rsidRDefault="00000000">
      <w:pPr>
        <w:numPr>
          <w:ilvl w:val="0"/>
          <w:numId w:val="13"/>
        </w:numPr>
        <w:spacing w:after="210" w:line="360" w:lineRule="auto"/>
      </w:pPr>
      <w:r>
        <w:fldChar w:fldCharType="begin"/>
      </w:r>
      <w:r>
        <w:instrText>HYPERLINK "https://downloads.hindawi.com/journals/bn/2017/5091027.pdf" \h</w:instrText>
      </w:r>
      <w:r>
        <w:fldChar w:fldCharType="separate"/>
      </w:r>
      <w:r>
        <w:rPr>
          <w:rFonts w:ascii="Helvetica Neue" w:eastAsia="Helvetica Neue" w:hAnsi="Helvetica Neue" w:cs="Helvetica Neue"/>
          <w:sz w:val="18"/>
          <w:u w:val="single"/>
        </w:rPr>
        <w:t>https://downloads.hindawi.com/journals/bn/2017/5091027.pdf</w:t>
      </w:r>
      <w:r>
        <w:fldChar w:fldCharType="end"/>
      </w:r>
      <w:r>
        <w:rPr>
          <w:rFonts w:eastAsia="Georgia" w:hAnsi="Georgia" w:cs="Georgia"/>
          <w:color w:val="000000"/>
          <w:sz w:val="18"/>
        </w:rPr>
        <w:t xml:space="preserve">     </w:t>
      </w:r>
    </w:p>
    <w:bookmarkStart w:id="69" w:name="fn10"/>
    <w:bookmarkEnd w:id="69"/>
    <w:p w14:paraId="07794B38" w14:textId="77777777" w:rsidR="00356EAC" w:rsidRDefault="00000000">
      <w:pPr>
        <w:numPr>
          <w:ilvl w:val="0"/>
          <w:numId w:val="13"/>
        </w:numPr>
        <w:spacing w:after="210" w:line="360" w:lineRule="auto"/>
      </w:pPr>
      <w:r>
        <w:fldChar w:fldCharType="begin"/>
      </w:r>
      <w:r>
        <w:instrText>HYPERLINK "https://www.bodyhackguide.co/vendors/adera" \h</w:instrText>
      </w:r>
      <w:r>
        <w:fldChar w:fldCharType="separate"/>
      </w:r>
      <w:r>
        <w:rPr>
          <w:rFonts w:ascii="Helvetica Neue" w:eastAsia="Helvetica Neue" w:hAnsi="Helvetica Neue" w:cs="Helvetica Neue"/>
          <w:sz w:val="18"/>
          <w:u w:val="single"/>
        </w:rPr>
        <w:t>https://www.bodyhackguide.co/vendors/adera</w:t>
      </w:r>
      <w:r>
        <w:fldChar w:fldCharType="end"/>
      </w:r>
      <w:r>
        <w:rPr>
          <w:rFonts w:eastAsia="Georgia" w:hAnsi="Georgia" w:cs="Georgia"/>
          <w:color w:val="000000"/>
          <w:sz w:val="18"/>
        </w:rPr>
        <w:t xml:space="preserve">  </w:t>
      </w:r>
    </w:p>
    <w:bookmarkStart w:id="70" w:name="fn11"/>
    <w:bookmarkEnd w:id="70"/>
    <w:p w14:paraId="53475578" w14:textId="77777777" w:rsidR="00356EAC" w:rsidRDefault="00000000">
      <w:pPr>
        <w:numPr>
          <w:ilvl w:val="0"/>
          <w:numId w:val="13"/>
        </w:numPr>
        <w:spacing w:after="210" w:line="360" w:lineRule="auto"/>
      </w:pPr>
      <w:r>
        <w:fldChar w:fldCharType="begin"/>
      </w:r>
      <w:r>
        <w:instrText>HYPERLINK "https://pubmed.ncbi.nlm.nih.gov/35335948/" \h</w:instrText>
      </w:r>
      <w:r>
        <w:fldChar w:fldCharType="separate"/>
      </w:r>
      <w:r>
        <w:rPr>
          <w:rFonts w:ascii="Helvetica Neue" w:eastAsia="Helvetica Neue" w:hAnsi="Helvetica Neue" w:cs="Helvetica Neue"/>
          <w:sz w:val="18"/>
          <w:u w:val="single"/>
        </w:rPr>
        <w:t>https://pubmed.ncbi.nlm.nih.gov/35335948/</w:t>
      </w:r>
      <w:r>
        <w:fldChar w:fldCharType="end"/>
      </w:r>
      <w:r>
        <w:rPr>
          <w:rFonts w:eastAsia="Georgia" w:hAnsi="Georgia" w:cs="Georgia"/>
          <w:color w:val="000000"/>
          <w:sz w:val="18"/>
        </w:rPr>
        <w:t xml:space="preserve"> </w:t>
      </w:r>
    </w:p>
    <w:bookmarkStart w:id="71" w:name="fn12"/>
    <w:bookmarkEnd w:id="71"/>
    <w:p w14:paraId="72A6CA49" w14:textId="77777777" w:rsidR="00356EAC" w:rsidRDefault="00000000">
      <w:pPr>
        <w:numPr>
          <w:ilvl w:val="0"/>
          <w:numId w:val="13"/>
        </w:numPr>
        <w:spacing w:after="210" w:line="360" w:lineRule="auto"/>
      </w:pPr>
      <w:r>
        <w:fldChar w:fldCharType="begin"/>
      </w:r>
      <w:r>
        <w:instrText>HYPERLINK "https://www.science.gov/topicpages/d/delta+sleep-inducing+peptide" \h</w:instrText>
      </w:r>
      <w:r>
        <w:fldChar w:fldCharType="separate"/>
      </w:r>
      <w:r>
        <w:rPr>
          <w:rFonts w:ascii="Helvetica Neue" w:eastAsia="Helvetica Neue" w:hAnsi="Helvetica Neue" w:cs="Helvetica Neue"/>
          <w:sz w:val="18"/>
          <w:u w:val="single"/>
        </w:rPr>
        <w:t>https://www.science.gov/topicpages/d/delta+sleep-inducing+peptide</w:t>
      </w:r>
      <w:r>
        <w:fldChar w:fldCharType="end"/>
      </w:r>
      <w:r>
        <w:rPr>
          <w:rFonts w:eastAsia="Georgia" w:hAnsi="Georgia" w:cs="Georgia"/>
          <w:color w:val="000000"/>
          <w:sz w:val="18"/>
        </w:rPr>
        <w:t xml:space="preserve"> </w:t>
      </w:r>
    </w:p>
    <w:bookmarkStart w:id="72" w:name="fn13"/>
    <w:bookmarkEnd w:id="72"/>
    <w:p w14:paraId="03AB4FBB" w14:textId="77777777" w:rsidR="00356EAC" w:rsidRDefault="00000000">
      <w:pPr>
        <w:numPr>
          <w:ilvl w:val="0"/>
          <w:numId w:val="13"/>
        </w:numPr>
        <w:spacing w:after="210" w:line="360" w:lineRule="auto"/>
      </w:pPr>
      <w:r>
        <w:fldChar w:fldCharType="begin"/>
      </w:r>
      <w:r>
        <w:instrText>HYPERLINK "https://pubmed.ncbi.nlm.nih.gov/28944854/" \h</w:instrText>
      </w:r>
      <w:r>
        <w:fldChar w:fldCharType="separate"/>
      </w:r>
      <w:r>
        <w:rPr>
          <w:rFonts w:ascii="Helvetica Neue" w:eastAsia="Helvetica Neue" w:hAnsi="Helvetica Neue" w:cs="Helvetica Neue"/>
          <w:sz w:val="18"/>
          <w:u w:val="single"/>
        </w:rPr>
        <w:t>https://pubmed.ncbi.nlm.nih.gov/28944854/</w:t>
      </w:r>
      <w:r>
        <w:fldChar w:fldCharType="end"/>
      </w:r>
      <w:r>
        <w:rPr>
          <w:rFonts w:eastAsia="Georgia" w:hAnsi="Georgia" w:cs="Georgia"/>
          <w:color w:val="000000"/>
          <w:sz w:val="18"/>
        </w:rPr>
        <w:t xml:space="preserve"> </w:t>
      </w:r>
    </w:p>
    <w:bookmarkStart w:id="73" w:name="fn14"/>
    <w:bookmarkEnd w:id="73"/>
    <w:p w14:paraId="5E1E5A20" w14:textId="77777777" w:rsidR="00356EAC" w:rsidRDefault="00000000">
      <w:pPr>
        <w:numPr>
          <w:ilvl w:val="0"/>
          <w:numId w:val="13"/>
        </w:numPr>
        <w:spacing w:after="210" w:line="360" w:lineRule="auto"/>
      </w:pPr>
      <w:r>
        <w:fldChar w:fldCharType="begin"/>
      </w:r>
      <w:r>
        <w:instrText>HYPERLINK "https://patents.google.com/patent/WO2022165262A1/fr" \h</w:instrText>
      </w:r>
      <w:r>
        <w:fldChar w:fldCharType="separate"/>
      </w:r>
      <w:r>
        <w:rPr>
          <w:rFonts w:ascii="Helvetica Neue" w:eastAsia="Helvetica Neue" w:hAnsi="Helvetica Neue" w:cs="Helvetica Neue"/>
          <w:sz w:val="18"/>
          <w:u w:val="single"/>
        </w:rPr>
        <w:t>https://patents.google.com/patent/WO2022165262A1/fr</w:t>
      </w:r>
      <w:r>
        <w:fldChar w:fldCharType="end"/>
      </w:r>
      <w:r>
        <w:rPr>
          <w:rFonts w:eastAsia="Georgia" w:hAnsi="Georgia" w:cs="Georgia"/>
          <w:color w:val="000000"/>
          <w:sz w:val="18"/>
        </w:rPr>
        <w:t xml:space="preserve"> </w:t>
      </w:r>
    </w:p>
    <w:bookmarkStart w:id="74" w:name="fn15"/>
    <w:bookmarkEnd w:id="74"/>
    <w:p w14:paraId="4D74695F" w14:textId="77777777" w:rsidR="00356EAC" w:rsidRDefault="00000000">
      <w:pPr>
        <w:numPr>
          <w:ilvl w:val="0"/>
          <w:numId w:val="13"/>
        </w:numPr>
        <w:spacing w:after="210" w:line="360" w:lineRule="auto"/>
      </w:pPr>
      <w:r>
        <w:fldChar w:fldCharType="begin"/>
      </w:r>
      <w:r>
        <w:instrText>HYPERLINK "https://pdfs.semanticscholar.org/ee07/06469739c2c283059ed3fe3a12cee22c0de7.pdf?skipShowableCheck=true" \h</w:instrText>
      </w:r>
      <w:r>
        <w:fldChar w:fldCharType="separate"/>
      </w:r>
      <w:r>
        <w:rPr>
          <w:rFonts w:ascii="Helvetica Neue" w:eastAsia="Helvetica Neue" w:hAnsi="Helvetica Neue" w:cs="Helvetica Neue"/>
          <w:sz w:val="18"/>
          <w:u w:val="single"/>
        </w:rPr>
        <w:t>https://pdfs.semanticscholar.org/ee07/06469739c2c283059ed3fe3a12cee22c0de7.pdf?skipShowableCheck=true</w:t>
      </w:r>
      <w:r>
        <w:fldChar w:fldCharType="end"/>
      </w:r>
      <w:r>
        <w:rPr>
          <w:rFonts w:eastAsia="Georgia" w:hAnsi="Georgia" w:cs="Georgia"/>
          <w:color w:val="000000"/>
          <w:sz w:val="18"/>
        </w:rPr>
        <w:t xml:space="preserve"> </w:t>
      </w:r>
    </w:p>
    <w:sectPr w:rsidR="00356EA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D60"/>
    <w:multiLevelType w:val="hybridMultilevel"/>
    <w:tmpl w:val="9C6C4968"/>
    <w:lvl w:ilvl="0" w:tplc="7F682FEE">
      <w:start w:val="1"/>
      <w:numFmt w:val="decimal"/>
      <w:lvlText w:val="%1."/>
      <w:lvlJc w:val="left"/>
      <w:pPr>
        <w:tabs>
          <w:tab w:val="num" w:pos="900"/>
        </w:tabs>
        <w:ind w:left="540" w:hanging="360"/>
      </w:pPr>
    </w:lvl>
    <w:lvl w:ilvl="1" w:tplc="04A2F7FE">
      <w:numFmt w:val="decimal"/>
      <w:lvlText w:val=""/>
      <w:lvlJc w:val="left"/>
    </w:lvl>
    <w:lvl w:ilvl="2" w:tplc="638C50D2">
      <w:numFmt w:val="decimal"/>
      <w:lvlText w:val=""/>
      <w:lvlJc w:val="left"/>
    </w:lvl>
    <w:lvl w:ilvl="3" w:tplc="FBE2CB4A">
      <w:numFmt w:val="decimal"/>
      <w:lvlText w:val=""/>
      <w:lvlJc w:val="left"/>
    </w:lvl>
    <w:lvl w:ilvl="4" w:tplc="74E05632">
      <w:numFmt w:val="decimal"/>
      <w:lvlText w:val=""/>
      <w:lvlJc w:val="left"/>
    </w:lvl>
    <w:lvl w:ilvl="5" w:tplc="2BBAE2A2">
      <w:numFmt w:val="decimal"/>
      <w:lvlText w:val=""/>
      <w:lvlJc w:val="left"/>
    </w:lvl>
    <w:lvl w:ilvl="6" w:tplc="0114AAEA">
      <w:numFmt w:val="decimal"/>
      <w:lvlText w:val=""/>
      <w:lvlJc w:val="left"/>
    </w:lvl>
    <w:lvl w:ilvl="7" w:tplc="73C839B8">
      <w:numFmt w:val="decimal"/>
      <w:lvlText w:val=""/>
      <w:lvlJc w:val="left"/>
    </w:lvl>
    <w:lvl w:ilvl="8" w:tplc="B888CE5E">
      <w:numFmt w:val="decimal"/>
      <w:lvlText w:val=""/>
      <w:lvlJc w:val="left"/>
    </w:lvl>
  </w:abstractNum>
  <w:abstractNum w:abstractNumId="1" w15:restartNumberingAfterBreak="0">
    <w:nsid w:val="136A0425"/>
    <w:multiLevelType w:val="hybridMultilevel"/>
    <w:tmpl w:val="4E18437E"/>
    <w:lvl w:ilvl="0" w:tplc="B7AA8848">
      <w:start w:val="1"/>
      <w:numFmt w:val="bullet"/>
      <w:lvlText w:val=""/>
      <w:lvlJc w:val="left"/>
      <w:pPr>
        <w:tabs>
          <w:tab w:val="num" w:pos="900"/>
        </w:tabs>
        <w:ind w:left="540" w:hanging="360"/>
      </w:pPr>
      <w:rPr>
        <w:rFonts w:ascii="Symbol" w:hAnsi="Symbol" w:hint="default"/>
      </w:rPr>
    </w:lvl>
    <w:lvl w:ilvl="1" w:tplc="91841CCC">
      <w:numFmt w:val="decimal"/>
      <w:lvlText w:val=""/>
      <w:lvlJc w:val="left"/>
    </w:lvl>
    <w:lvl w:ilvl="2" w:tplc="3CECBCC2">
      <w:numFmt w:val="decimal"/>
      <w:lvlText w:val=""/>
      <w:lvlJc w:val="left"/>
    </w:lvl>
    <w:lvl w:ilvl="3" w:tplc="F90000AE">
      <w:numFmt w:val="decimal"/>
      <w:lvlText w:val=""/>
      <w:lvlJc w:val="left"/>
    </w:lvl>
    <w:lvl w:ilvl="4" w:tplc="5270E408">
      <w:numFmt w:val="decimal"/>
      <w:lvlText w:val=""/>
      <w:lvlJc w:val="left"/>
    </w:lvl>
    <w:lvl w:ilvl="5" w:tplc="8C9822D0">
      <w:numFmt w:val="decimal"/>
      <w:lvlText w:val=""/>
      <w:lvlJc w:val="left"/>
    </w:lvl>
    <w:lvl w:ilvl="6" w:tplc="080AD3F4">
      <w:numFmt w:val="decimal"/>
      <w:lvlText w:val=""/>
      <w:lvlJc w:val="left"/>
    </w:lvl>
    <w:lvl w:ilvl="7" w:tplc="B5B0D0C4">
      <w:numFmt w:val="decimal"/>
      <w:lvlText w:val=""/>
      <w:lvlJc w:val="left"/>
    </w:lvl>
    <w:lvl w:ilvl="8" w:tplc="B00C6634">
      <w:numFmt w:val="decimal"/>
      <w:lvlText w:val=""/>
      <w:lvlJc w:val="left"/>
    </w:lvl>
  </w:abstractNum>
  <w:abstractNum w:abstractNumId="2" w15:restartNumberingAfterBreak="0">
    <w:nsid w:val="1C7E3AE3"/>
    <w:multiLevelType w:val="hybridMultilevel"/>
    <w:tmpl w:val="CAF810A0"/>
    <w:lvl w:ilvl="0" w:tplc="2CDC6A9A">
      <w:start w:val="1"/>
      <w:numFmt w:val="bullet"/>
      <w:lvlText w:val=""/>
      <w:lvlJc w:val="left"/>
      <w:pPr>
        <w:tabs>
          <w:tab w:val="num" w:pos="900"/>
        </w:tabs>
        <w:ind w:left="540" w:hanging="360"/>
      </w:pPr>
      <w:rPr>
        <w:rFonts w:ascii="Symbol" w:hAnsi="Symbol" w:hint="default"/>
      </w:rPr>
    </w:lvl>
    <w:lvl w:ilvl="1" w:tplc="FFBC81E2">
      <w:numFmt w:val="decimal"/>
      <w:lvlText w:val=""/>
      <w:lvlJc w:val="left"/>
    </w:lvl>
    <w:lvl w:ilvl="2" w:tplc="64768686">
      <w:numFmt w:val="decimal"/>
      <w:lvlText w:val=""/>
      <w:lvlJc w:val="left"/>
    </w:lvl>
    <w:lvl w:ilvl="3" w:tplc="33081436">
      <w:numFmt w:val="decimal"/>
      <w:lvlText w:val=""/>
      <w:lvlJc w:val="left"/>
    </w:lvl>
    <w:lvl w:ilvl="4" w:tplc="E0861A3A">
      <w:numFmt w:val="decimal"/>
      <w:lvlText w:val=""/>
      <w:lvlJc w:val="left"/>
    </w:lvl>
    <w:lvl w:ilvl="5" w:tplc="A53201B6">
      <w:numFmt w:val="decimal"/>
      <w:lvlText w:val=""/>
      <w:lvlJc w:val="left"/>
    </w:lvl>
    <w:lvl w:ilvl="6" w:tplc="F5D0CD72">
      <w:numFmt w:val="decimal"/>
      <w:lvlText w:val=""/>
      <w:lvlJc w:val="left"/>
    </w:lvl>
    <w:lvl w:ilvl="7" w:tplc="299EE3B2">
      <w:numFmt w:val="decimal"/>
      <w:lvlText w:val=""/>
      <w:lvlJc w:val="left"/>
    </w:lvl>
    <w:lvl w:ilvl="8" w:tplc="D8024456">
      <w:numFmt w:val="decimal"/>
      <w:lvlText w:val=""/>
      <w:lvlJc w:val="left"/>
    </w:lvl>
  </w:abstractNum>
  <w:abstractNum w:abstractNumId="3" w15:restartNumberingAfterBreak="0">
    <w:nsid w:val="1E601231"/>
    <w:multiLevelType w:val="hybridMultilevel"/>
    <w:tmpl w:val="32180E5C"/>
    <w:lvl w:ilvl="0" w:tplc="46F0B2D8">
      <w:start w:val="1"/>
      <w:numFmt w:val="bullet"/>
      <w:lvlText w:val=""/>
      <w:lvlJc w:val="left"/>
      <w:pPr>
        <w:tabs>
          <w:tab w:val="num" w:pos="900"/>
        </w:tabs>
        <w:ind w:left="540" w:hanging="360"/>
      </w:pPr>
      <w:rPr>
        <w:rFonts w:ascii="Symbol" w:hAnsi="Symbol" w:hint="default"/>
      </w:rPr>
    </w:lvl>
    <w:lvl w:ilvl="1" w:tplc="BE1CBA70">
      <w:numFmt w:val="decimal"/>
      <w:lvlText w:val=""/>
      <w:lvlJc w:val="left"/>
    </w:lvl>
    <w:lvl w:ilvl="2" w:tplc="F2AA115C">
      <w:numFmt w:val="decimal"/>
      <w:lvlText w:val=""/>
      <w:lvlJc w:val="left"/>
    </w:lvl>
    <w:lvl w:ilvl="3" w:tplc="5ECA03EE">
      <w:numFmt w:val="decimal"/>
      <w:lvlText w:val=""/>
      <w:lvlJc w:val="left"/>
    </w:lvl>
    <w:lvl w:ilvl="4" w:tplc="3856BF1C">
      <w:numFmt w:val="decimal"/>
      <w:lvlText w:val=""/>
      <w:lvlJc w:val="left"/>
    </w:lvl>
    <w:lvl w:ilvl="5" w:tplc="0F44FF74">
      <w:numFmt w:val="decimal"/>
      <w:lvlText w:val=""/>
      <w:lvlJc w:val="left"/>
    </w:lvl>
    <w:lvl w:ilvl="6" w:tplc="8C120F4C">
      <w:numFmt w:val="decimal"/>
      <w:lvlText w:val=""/>
      <w:lvlJc w:val="left"/>
    </w:lvl>
    <w:lvl w:ilvl="7" w:tplc="190E755C">
      <w:numFmt w:val="decimal"/>
      <w:lvlText w:val=""/>
      <w:lvlJc w:val="left"/>
    </w:lvl>
    <w:lvl w:ilvl="8" w:tplc="E2A2DD60">
      <w:numFmt w:val="decimal"/>
      <w:lvlText w:val=""/>
      <w:lvlJc w:val="left"/>
    </w:lvl>
  </w:abstractNum>
  <w:abstractNum w:abstractNumId="4" w15:restartNumberingAfterBreak="0">
    <w:nsid w:val="236E59ED"/>
    <w:multiLevelType w:val="hybridMultilevel"/>
    <w:tmpl w:val="3E1C463E"/>
    <w:lvl w:ilvl="0" w:tplc="22846A54">
      <w:start w:val="1"/>
      <w:numFmt w:val="bullet"/>
      <w:lvlText w:val=""/>
      <w:lvlJc w:val="left"/>
      <w:pPr>
        <w:tabs>
          <w:tab w:val="num" w:pos="900"/>
        </w:tabs>
        <w:ind w:left="540" w:hanging="360"/>
      </w:pPr>
      <w:rPr>
        <w:rFonts w:ascii="Symbol" w:hAnsi="Symbol" w:hint="default"/>
      </w:rPr>
    </w:lvl>
    <w:lvl w:ilvl="1" w:tplc="AFB8D4CC">
      <w:numFmt w:val="decimal"/>
      <w:lvlText w:val=""/>
      <w:lvlJc w:val="left"/>
    </w:lvl>
    <w:lvl w:ilvl="2" w:tplc="35929722">
      <w:numFmt w:val="decimal"/>
      <w:lvlText w:val=""/>
      <w:lvlJc w:val="left"/>
    </w:lvl>
    <w:lvl w:ilvl="3" w:tplc="79D8CB18">
      <w:numFmt w:val="decimal"/>
      <w:lvlText w:val=""/>
      <w:lvlJc w:val="left"/>
    </w:lvl>
    <w:lvl w:ilvl="4" w:tplc="DC38F3DE">
      <w:numFmt w:val="decimal"/>
      <w:lvlText w:val=""/>
      <w:lvlJc w:val="left"/>
    </w:lvl>
    <w:lvl w:ilvl="5" w:tplc="54863048">
      <w:numFmt w:val="decimal"/>
      <w:lvlText w:val=""/>
      <w:lvlJc w:val="left"/>
    </w:lvl>
    <w:lvl w:ilvl="6" w:tplc="B4FA559C">
      <w:numFmt w:val="decimal"/>
      <w:lvlText w:val=""/>
      <w:lvlJc w:val="left"/>
    </w:lvl>
    <w:lvl w:ilvl="7" w:tplc="CB38E25C">
      <w:numFmt w:val="decimal"/>
      <w:lvlText w:val=""/>
      <w:lvlJc w:val="left"/>
    </w:lvl>
    <w:lvl w:ilvl="8" w:tplc="A3C08DCA">
      <w:numFmt w:val="decimal"/>
      <w:lvlText w:val=""/>
      <w:lvlJc w:val="left"/>
    </w:lvl>
  </w:abstractNum>
  <w:abstractNum w:abstractNumId="5" w15:restartNumberingAfterBreak="0">
    <w:nsid w:val="35622421"/>
    <w:multiLevelType w:val="hybridMultilevel"/>
    <w:tmpl w:val="645CA09E"/>
    <w:lvl w:ilvl="0" w:tplc="56D21BB4">
      <w:start w:val="1"/>
      <w:numFmt w:val="decimal"/>
      <w:lvlText w:val="%1."/>
      <w:lvlJc w:val="left"/>
      <w:pPr>
        <w:tabs>
          <w:tab w:val="num" w:pos="900"/>
        </w:tabs>
        <w:ind w:left="540" w:hanging="360"/>
      </w:pPr>
    </w:lvl>
    <w:lvl w:ilvl="1" w:tplc="1FBE3DDC">
      <w:numFmt w:val="decimal"/>
      <w:lvlText w:val=""/>
      <w:lvlJc w:val="left"/>
    </w:lvl>
    <w:lvl w:ilvl="2" w:tplc="79669DA6">
      <w:numFmt w:val="decimal"/>
      <w:lvlText w:val=""/>
      <w:lvlJc w:val="left"/>
    </w:lvl>
    <w:lvl w:ilvl="3" w:tplc="8CBA22F6">
      <w:numFmt w:val="decimal"/>
      <w:lvlText w:val=""/>
      <w:lvlJc w:val="left"/>
    </w:lvl>
    <w:lvl w:ilvl="4" w:tplc="95DCBA66">
      <w:numFmt w:val="decimal"/>
      <w:lvlText w:val=""/>
      <w:lvlJc w:val="left"/>
    </w:lvl>
    <w:lvl w:ilvl="5" w:tplc="7E980254">
      <w:numFmt w:val="decimal"/>
      <w:lvlText w:val=""/>
      <w:lvlJc w:val="left"/>
    </w:lvl>
    <w:lvl w:ilvl="6" w:tplc="C622B1F6">
      <w:numFmt w:val="decimal"/>
      <w:lvlText w:val=""/>
      <w:lvlJc w:val="left"/>
    </w:lvl>
    <w:lvl w:ilvl="7" w:tplc="9A32EC56">
      <w:numFmt w:val="decimal"/>
      <w:lvlText w:val=""/>
      <w:lvlJc w:val="left"/>
    </w:lvl>
    <w:lvl w:ilvl="8" w:tplc="414A3EF2">
      <w:numFmt w:val="decimal"/>
      <w:lvlText w:val=""/>
      <w:lvlJc w:val="left"/>
    </w:lvl>
  </w:abstractNum>
  <w:abstractNum w:abstractNumId="6" w15:restartNumberingAfterBreak="0">
    <w:nsid w:val="3B834206"/>
    <w:multiLevelType w:val="hybridMultilevel"/>
    <w:tmpl w:val="4162E09E"/>
    <w:lvl w:ilvl="0" w:tplc="965AA86A">
      <w:start w:val="1"/>
      <w:numFmt w:val="bullet"/>
      <w:lvlText w:val=""/>
      <w:lvlJc w:val="left"/>
      <w:pPr>
        <w:tabs>
          <w:tab w:val="num" w:pos="900"/>
        </w:tabs>
        <w:ind w:left="540" w:hanging="360"/>
      </w:pPr>
      <w:rPr>
        <w:rFonts w:ascii="Symbol" w:hAnsi="Symbol" w:hint="default"/>
      </w:rPr>
    </w:lvl>
    <w:lvl w:ilvl="1" w:tplc="897E2C98">
      <w:numFmt w:val="decimal"/>
      <w:lvlText w:val=""/>
      <w:lvlJc w:val="left"/>
    </w:lvl>
    <w:lvl w:ilvl="2" w:tplc="1C6845EE">
      <w:numFmt w:val="decimal"/>
      <w:lvlText w:val=""/>
      <w:lvlJc w:val="left"/>
    </w:lvl>
    <w:lvl w:ilvl="3" w:tplc="0798A8D8">
      <w:numFmt w:val="decimal"/>
      <w:lvlText w:val=""/>
      <w:lvlJc w:val="left"/>
    </w:lvl>
    <w:lvl w:ilvl="4" w:tplc="F894C6A0">
      <w:numFmt w:val="decimal"/>
      <w:lvlText w:val=""/>
      <w:lvlJc w:val="left"/>
    </w:lvl>
    <w:lvl w:ilvl="5" w:tplc="7ED40576">
      <w:numFmt w:val="decimal"/>
      <w:lvlText w:val=""/>
      <w:lvlJc w:val="left"/>
    </w:lvl>
    <w:lvl w:ilvl="6" w:tplc="C0F61EEC">
      <w:numFmt w:val="decimal"/>
      <w:lvlText w:val=""/>
      <w:lvlJc w:val="left"/>
    </w:lvl>
    <w:lvl w:ilvl="7" w:tplc="886AD3FE">
      <w:numFmt w:val="decimal"/>
      <w:lvlText w:val=""/>
      <w:lvlJc w:val="left"/>
    </w:lvl>
    <w:lvl w:ilvl="8" w:tplc="45F889E2">
      <w:numFmt w:val="decimal"/>
      <w:lvlText w:val=""/>
      <w:lvlJc w:val="left"/>
    </w:lvl>
  </w:abstractNum>
  <w:abstractNum w:abstractNumId="7" w15:restartNumberingAfterBreak="0">
    <w:nsid w:val="490742C1"/>
    <w:multiLevelType w:val="hybridMultilevel"/>
    <w:tmpl w:val="46E2A880"/>
    <w:lvl w:ilvl="0" w:tplc="A778397C">
      <w:start w:val="1"/>
      <w:numFmt w:val="bullet"/>
      <w:lvlText w:val=""/>
      <w:lvlJc w:val="left"/>
      <w:pPr>
        <w:tabs>
          <w:tab w:val="num" w:pos="900"/>
        </w:tabs>
        <w:ind w:left="540" w:hanging="360"/>
      </w:pPr>
      <w:rPr>
        <w:rFonts w:ascii="Symbol" w:hAnsi="Symbol" w:hint="default"/>
      </w:rPr>
    </w:lvl>
    <w:lvl w:ilvl="1" w:tplc="A87AFE08">
      <w:numFmt w:val="decimal"/>
      <w:lvlText w:val=""/>
      <w:lvlJc w:val="left"/>
    </w:lvl>
    <w:lvl w:ilvl="2" w:tplc="1EF614CA">
      <w:numFmt w:val="decimal"/>
      <w:lvlText w:val=""/>
      <w:lvlJc w:val="left"/>
    </w:lvl>
    <w:lvl w:ilvl="3" w:tplc="DB20EBA8">
      <w:numFmt w:val="decimal"/>
      <w:lvlText w:val=""/>
      <w:lvlJc w:val="left"/>
    </w:lvl>
    <w:lvl w:ilvl="4" w:tplc="3E7A3A9E">
      <w:numFmt w:val="decimal"/>
      <w:lvlText w:val=""/>
      <w:lvlJc w:val="left"/>
    </w:lvl>
    <w:lvl w:ilvl="5" w:tplc="2B641816">
      <w:numFmt w:val="decimal"/>
      <w:lvlText w:val=""/>
      <w:lvlJc w:val="left"/>
    </w:lvl>
    <w:lvl w:ilvl="6" w:tplc="5F20A1BC">
      <w:numFmt w:val="decimal"/>
      <w:lvlText w:val=""/>
      <w:lvlJc w:val="left"/>
    </w:lvl>
    <w:lvl w:ilvl="7" w:tplc="21F2B02E">
      <w:numFmt w:val="decimal"/>
      <w:lvlText w:val=""/>
      <w:lvlJc w:val="left"/>
    </w:lvl>
    <w:lvl w:ilvl="8" w:tplc="64DCA6CC">
      <w:numFmt w:val="decimal"/>
      <w:lvlText w:val=""/>
      <w:lvlJc w:val="left"/>
    </w:lvl>
  </w:abstractNum>
  <w:abstractNum w:abstractNumId="8" w15:restartNumberingAfterBreak="0">
    <w:nsid w:val="56430B02"/>
    <w:multiLevelType w:val="hybridMultilevel"/>
    <w:tmpl w:val="ECC849F2"/>
    <w:lvl w:ilvl="0" w:tplc="58A2D0A8">
      <w:start w:val="1"/>
      <w:numFmt w:val="bullet"/>
      <w:lvlText w:val=""/>
      <w:lvlJc w:val="left"/>
      <w:pPr>
        <w:tabs>
          <w:tab w:val="num" w:pos="900"/>
        </w:tabs>
        <w:ind w:left="540" w:hanging="360"/>
      </w:pPr>
      <w:rPr>
        <w:rFonts w:ascii="Symbol" w:hAnsi="Symbol" w:hint="default"/>
      </w:rPr>
    </w:lvl>
    <w:lvl w:ilvl="1" w:tplc="724C3522">
      <w:numFmt w:val="decimal"/>
      <w:lvlText w:val=""/>
      <w:lvlJc w:val="left"/>
    </w:lvl>
    <w:lvl w:ilvl="2" w:tplc="A0BCCB7A">
      <w:numFmt w:val="decimal"/>
      <w:lvlText w:val=""/>
      <w:lvlJc w:val="left"/>
    </w:lvl>
    <w:lvl w:ilvl="3" w:tplc="B5A629BA">
      <w:numFmt w:val="decimal"/>
      <w:lvlText w:val=""/>
      <w:lvlJc w:val="left"/>
    </w:lvl>
    <w:lvl w:ilvl="4" w:tplc="2E001408">
      <w:numFmt w:val="decimal"/>
      <w:lvlText w:val=""/>
      <w:lvlJc w:val="left"/>
    </w:lvl>
    <w:lvl w:ilvl="5" w:tplc="F3FEE024">
      <w:numFmt w:val="decimal"/>
      <w:lvlText w:val=""/>
      <w:lvlJc w:val="left"/>
    </w:lvl>
    <w:lvl w:ilvl="6" w:tplc="5024EEDA">
      <w:numFmt w:val="decimal"/>
      <w:lvlText w:val=""/>
      <w:lvlJc w:val="left"/>
    </w:lvl>
    <w:lvl w:ilvl="7" w:tplc="C20E46FC">
      <w:numFmt w:val="decimal"/>
      <w:lvlText w:val=""/>
      <w:lvlJc w:val="left"/>
    </w:lvl>
    <w:lvl w:ilvl="8" w:tplc="9C027858">
      <w:numFmt w:val="decimal"/>
      <w:lvlText w:val=""/>
      <w:lvlJc w:val="left"/>
    </w:lvl>
  </w:abstractNum>
  <w:abstractNum w:abstractNumId="9" w15:restartNumberingAfterBreak="0">
    <w:nsid w:val="5CE33FBE"/>
    <w:multiLevelType w:val="hybridMultilevel"/>
    <w:tmpl w:val="60AC27B4"/>
    <w:lvl w:ilvl="0" w:tplc="8EDC2322">
      <w:start w:val="1"/>
      <w:numFmt w:val="bullet"/>
      <w:lvlText w:val=""/>
      <w:lvlJc w:val="left"/>
      <w:pPr>
        <w:tabs>
          <w:tab w:val="num" w:pos="900"/>
        </w:tabs>
        <w:ind w:left="540" w:hanging="360"/>
      </w:pPr>
      <w:rPr>
        <w:rFonts w:ascii="Symbol" w:hAnsi="Symbol" w:hint="default"/>
      </w:rPr>
    </w:lvl>
    <w:lvl w:ilvl="1" w:tplc="524C930E">
      <w:numFmt w:val="decimal"/>
      <w:lvlText w:val=""/>
      <w:lvlJc w:val="left"/>
    </w:lvl>
    <w:lvl w:ilvl="2" w:tplc="189A3168">
      <w:numFmt w:val="decimal"/>
      <w:lvlText w:val=""/>
      <w:lvlJc w:val="left"/>
    </w:lvl>
    <w:lvl w:ilvl="3" w:tplc="C3CCF87C">
      <w:numFmt w:val="decimal"/>
      <w:lvlText w:val=""/>
      <w:lvlJc w:val="left"/>
    </w:lvl>
    <w:lvl w:ilvl="4" w:tplc="7018B7DE">
      <w:numFmt w:val="decimal"/>
      <w:lvlText w:val=""/>
      <w:lvlJc w:val="left"/>
    </w:lvl>
    <w:lvl w:ilvl="5" w:tplc="6A966D6A">
      <w:numFmt w:val="decimal"/>
      <w:lvlText w:val=""/>
      <w:lvlJc w:val="left"/>
    </w:lvl>
    <w:lvl w:ilvl="6" w:tplc="E3D4CF46">
      <w:numFmt w:val="decimal"/>
      <w:lvlText w:val=""/>
      <w:lvlJc w:val="left"/>
    </w:lvl>
    <w:lvl w:ilvl="7" w:tplc="42284468">
      <w:numFmt w:val="decimal"/>
      <w:lvlText w:val=""/>
      <w:lvlJc w:val="left"/>
    </w:lvl>
    <w:lvl w:ilvl="8" w:tplc="B1BE36FC">
      <w:numFmt w:val="decimal"/>
      <w:lvlText w:val=""/>
      <w:lvlJc w:val="left"/>
    </w:lvl>
  </w:abstractNum>
  <w:abstractNum w:abstractNumId="10" w15:restartNumberingAfterBreak="0">
    <w:nsid w:val="69CB5124"/>
    <w:multiLevelType w:val="hybridMultilevel"/>
    <w:tmpl w:val="27B21F76"/>
    <w:lvl w:ilvl="0" w:tplc="336ACDB4">
      <w:numFmt w:val="decimal"/>
      <w:lvlText w:val=""/>
      <w:lvlJc w:val="left"/>
    </w:lvl>
    <w:lvl w:ilvl="1" w:tplc="2E304C2C">
      <w:numFmt w:val="decimal"/>
      <w:lvlText w:val=""/>
      <w:lvlJc w:val="left"/>
    </w:lvl>
    <w:lvl w:ilvl="2" w:tplc="BEEC026C">
      <w:numFmt w:val="decimal"/>
      <w:lvlText w:val=""/>
      <w:lvlJc w:val="left"/>
    </w:lvl>
    <w:lvl w:ilvl="3" w:tplc="6672A560">
      <w:numFmt w:val="decimal"/>
      <w:lvlText w:val=""/>
      <w:lvlJc w:val="left"/>
    </w:lvl>
    <w:lvl w:ilvl="4" w:tplc="CEC86A0E">
      <w:numFmt w:val="decimal"/>
      <w:lvlText w:val=""/>
      <w:lvlJc w:val="left"/>
    </w:lvl>
    <w:lvl w:ilvl="5" w:tplc="FBD6D882">
      <w:numFmt w:val="decimal"/>
      <w:lvlText w:val=""/>
      <w:lvlJc w:val="left"/>
    </w:lvl>
    <w:lvl w:ilvl="6" w:tplc="85F23D20">
      <w:numFmt w:val="decimal"/>
      <w:lvlText w:val=""/>
      <w:lvlJc w:val="left"/>
    </w:lvl>
    <w:lvl w:ilvl="7" w:tplc="6D98F3FC">
      <w:numFmt w:val="decimal"/>
      <w:lvlText w:val=""/>
      <w:lvlJc w:val="left"/>
    </w:lvl>
    <w:lvl w:ilvl="8" w:tplc="A7340038">
      <w:numFmt w:val="decimal"/>
      <w:lvlText w:val=""/>
      <w:lvlJc w:val="left"/>
    </w:lvl>
  </w:abstractNum>
  <w:abstractNum w:abstractNumId="11" w15:restartNumberingAfterBreak="0">
    <w:nsid w:val="73124459"/>
    <w:multiLevelType w:val="hybridMultilevel"/>
    <w:tmpl w:val="A5D0C946"/>
    <w:lvl w:ilvl="0" w:tplc="3A94AF82">
      <w:start w:val="1"/>
      <w:numFmt w:val="bullet"/>
      <w:lvlText w:val=""/>
      <w:lvlJc w:val="left"/>
      <w:pPr>
        <w:tabs>
          <w:tab w:val="num" w:pos="900"/>
        </w:tabs>
        <w:ind w:left="540" w:hanging="360"/>
      </w:pPr>
      <w:rPr>
        <w:rFonts w:ascii="Symbol" w:hAnsi="Symbol" w:hint="default"/>
      </w:rPr>
    </w:lvl>
    <w:lvl w:ilvl="1" w:tplc="C2C2227E">
      <w:numFmt w:val="decimal"/>
      <w:lvlText w:val=""/>
      <w:lvlJc w:val="left"/>
    </w:lvl>
    <w:lvl w:ilvl="2" w:tplc="A580A4C4">
      <w:numFmt w:val="decimal"/>
      <w:lvlText w:val=""/>
      <w:lvlJc w:val="left"/>
    </w:lvl>
    <w:lvl w:ilvl="3" w:tplc="85BC1EA6">
      <w:numFmt w:val="decimal"/>
      <w:lvlText w:val=""/>
      <w:lvlJc w:val="left"/>
    </w:lvl>
    <w:lvl w:ilvl="4" w:tplc="1EE6B9E0">
      <w:numFmt w:val="decimal"/>
      <w:lvlText w:val=""/>
      <w:lvlJc w:val="left"/>
    </w:lvl>
    <w:lvl w:ilvl="5" w:tplc="34C4AB5C">
      <w:numFmt w:val="decimal"/>
      <w:lvlText w:val=""/>
      <w:lvlJc w:val="left"/>
    </w:lvl>
    <w:lvl w:ilvl="6" w:tplc="5380B92C">
      <w:numFmt w:val="decimal"/>
      <w:lvlText w:val=""/>
      <w:lvlJc w:val="left"/>
    </w:lvl>
    <w:lvl w:ilvl="7" w:tplc="6BAE6DAE">
      <w:numFmt w:val="decimal"/>
      <w:lvlText w:val=""/>
      <w:lvlJc w:val="left"/>
    </w:lvl>
    <w:lvl w:ilvl="8" w:tplc="296EE5BC">
      <w:numFmt w:val="decimal"/>
      <w:lvlText w:val=""/>
      <w:lvlJc w:val="left"/>
    </w:lvl>
  </w:abstractNum>
  <w:abstractNum w:abstractNumId="12" w15:restartNumberingAfterBreak="0">
    <w:nsid w:val="76252CC0"/>
    <w:multiLevelType w:val="hybridMultilevel"/>
    <w:tmpl w:val="FF88B1FE"/>
    <w:lvl w:ilvl="0" w:tplc="E33889E0">
      <w:start w:val="1"/>
      <w:numFmt w:val="bullet"/>
      <w:lvlText w:val=""/>
      <w:lvlJc w:val="left"/>
      <w:pPr>
        <w:tabs>
          <w:tab w:val="num" w:pos="900"/>
        </w:tabs>
        <w:ind w:left="540" w:hanging="360"/>
      </w:pPr>
      <w:rPr>
        <w:rFonts w:ascii="Symbol" w:hAnsi="Symbol" w:hint="default"/>
      </w:rPr>
    </w:lvl>
    <w:lvl w:ilvl="1" w:tplc="EAF20D6E">
      <w:numFmt w:val="decimal"/>
      <w:lvlText w:val=""/>
      <w:lvlJc w:val="left"/>
    </w:lvl>
    <w:lvl w:ilvl="2" w:tplc="73388FCA">
      <w:numFmt w:val="decimal"/>
      <w:lvlText w:val=""/>
      <w:lvlJc w:val="left"/>
    </w:lvl>
    <w:lvl w:ilvl="3" w:tplc="9EE68A24">
      <w:numFmt w:val="decimal"/>
      <w:lvlText w:val=""/>
      <w:lvlJc w:val="left"/>
    </w:lvl>
    <w:lvl w:ilvl="4" w:tplc="F3384742">
      <w:numFmt w:val="decimal"/>
      <w:lvlText w:val=""/>
      <w:lvlJc w:val="left"/>
    </w:lvl>
    <w:lvl w:ilvl="5" w:tplc="3A74DBDC">
      <w:numFmt w:val="decimal"/>
      <w:lvlText w:val=""/>
      <w:lvlJc w:val="left"/>
    </w:lvl>
    <w:lvl w:ilvl="6" w:tplc="48A2BC0A">
      <w:numFmt w:val="decimal"/>
      <w:lvlText w:val=""/>
      <w:lvlJc w:val="left"/>
    </w:lvl>
    <w:lvl w:ilvl="7" w:tplc="6608DA00">
      <w:numFmt w:val="decimal"/>
      <w:lvlText w:val=""/>
      <w:lvlJc w:val="left"/>
    </w:lvl>
    <w:lvl w:ilvl="8" w:tplc="AFAE2294">
      <w:numFmt w:val="decimal"/>
      <w:lvlText w:val=""/>
      <w:lvlJc w:val="left"/>
    </w:lvl>
  </w:abstractNum>
  <w:num w:numId="1" w16cid:durableId="755902207">
    <w:abstractNumId w:val="0"/>
  </w:num>
  <w:num w:numId="2" w16cid:durableId="1982270688">
    <w:abstractNumId w:val="3"/>
  </w:num>
  <w:num w:numId="3" w16cid:durableId="1915554526">
    <w:abstractNumId w:val="4"/>
  </w:num>
  <w:num w:numId="4" w16cid:durableId="1265042835">
    <w:abstractNumId w:val="8"/>
  </w:num>
  <w:num w:numId="5" w16cid:durableId="2124379955">
    <w:abstractNumId w:val="2"/>
  </w:num>
  <w:num w:numId="6" w16cid:durableId="434177063">
    <w:abstractNumId w:val="1"/>
  </w:num>
  <w:num w:numId="7" w16cid:durableId="1598173295">
    <w:abstractNumId w:val="11"/>
  </w:num>
  <w:num w:numId="8" w16cid:durableId="1789623202">
    <w:abstractNumId w:val="12"/>
  </w:num>
  <w:num w:numId="9" w16cid:durableId="137504069">
    <w:abstractNumId w:val="7"/>
  </w:num>
  <w:num w:numId="10" w16cid:durableId="1192454749">
    <w:abstractNumId w:val="6"/>
  </w:num>
  <w:num w:numId="11" w16cid:durableId="1644038287">
    <w:abstractNumId w:val="9"/>
  </w:num>
  <w:num w:numId="12" w16cid:durableId="532886932">
    <w:abstractNumId w:val="10"/>
  </w:num>
  <w:num w:numId="13" w16cid:durableId="67387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EAC"/>
    <w:rsid w:val="002A188B"/>
    <w:rsid w:val="00356EAC"/>
    <w:rsid w:val="004543C4"/>
    <w:rsid w:val="00CB43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FE2B7EE"/>
  <w15:docId w15:val="{F4FD59B9-4248-E240-B861-6CF1560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32266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mc.ncbi.nlm.nih.gov/articles/PMC475766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4757669/" TargetMode="External"/><Relationship Id="rId11" Type="http://schemas.openxmlformats.org/officeDocument/2006/relationships/hyperlink" Target="https://pubmed.ncbi.nlm.nih.gov/18454096/" TargetMode="External"/><Relationship Id="rId5" Type="http://schemas.openxmlformats.org/officeDocument/2006/relationships/hyperlink" Target="https://orionpeptides.org/" TargetMode="External"/><Relationship Id="rId10" Type="http://schemas.openxmlformats.org/officeDocument/2006/relationships/hyperlink" Target="https://www.sciencedirect.com/science/article/pii/S092493381200045X" TargetMode="External"/><Relationship Id="rId4" Type="http://schemas.openxmlformats.org/officeDocument/2006/relationships/webSettings" Target="webSettings.xml"/><Relationship Id="rId9" Type="http://schemas.openxmlformats.org/officeDocument/2006/relationships/hyperlink" Target="https://pmc.ncbi.nlm.nih.gov/articles/PMC53226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2577</Words>
  <Characters>14691</Characters>
  <Application>Microsoft Office Word</Application>
  <DocSecurity>0</DocSecurity>
  <Lines>122</Lines>
  <Paragraphs>34</Paragraphs>
  <ScaleCrop>false</ScaleCrop>
  <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2026-05-04T08:36:00Z</dcterms:created>
  <dcterms:modified xsi:type="dcterms:W3CDTF">2026-05-04T08:37:00Z</dcterms:modified>
</cp:coreProperties>
</file>