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36C7D" w14:textId="77777777" w:rsidR="00AC1E94" w:rsidRDefault="00AC1E94">
      <w:pPr>
        <w:spacing w:after="210" w:line="360" w:lineRule="auto"/>
        <w:rPr>
          <w:rFonts w:eastAsia="Georgia" w:hAnsi="Georgia" w:cs="Georgia"/>
          <w:b/>
          <w:color w:val="000000"/>
          <w:sz w:val="39"/>
        </w:rPr>
      </w:pPr>
    </w:p>
    <w:p w14:paraId="11C9D07A" w14:textId="77777777" w:rsidR="00AC1E94" w:rsidRPr="00AC1E94" w:rsidRDefault="00AC1E94" w:rsidP="00AC1E9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Segoe UI"/>
          <w:b/>
          <w:bCs/>
          <w:color w:val="27251E"/>
          <w:sz w:val="36"/>
          <w:szCs w:val="36"/>
          <w:lang w:val="en-IN" w:eastAsia="zh-CN"/>
        </w:rPr>
      </w:pPr>
      <w:r w:rsidRPr="00AC1E94">
        <w:rPr>
          <w:rFonts w:ascii="pplxSerif" w:eastAsia="Times New Roman" w:hAnsi="pplxSerif" w:cs="Segoe UI"/>
          <w:b/>
          <w:bCs/>
          <w:color w:val="27251E"/>
          <w:sz w:val="36"/>
          <w:szCs w:val="36"/>
          <w:lang w:val="en-IN" w:eastAsia="zh-CN"/>
        </w:rPr>
        <w:t>Ipamorelin Explained: A Gentle Look at a Selective Growth Hormone Peptide</w:t>
      </w:r>
    </w:p>
    <w:p w14:paraId="064F928B" w14:textId="77777777" w:rsidR="00AC1E94" w:rsidRPr="00AC1E94" w:rsidRDefault="00AC1E94" w:rsidP="00AC1E94">
      <w:pPr>
        <w:spacing w:after="0" w:line="240" w:lineRule="auto"/>
        <w:rPr>
          <w:rFonts w:ascii="Times New Roman" w:eastAsia="Times New Roman" w:hAnsi="Times New Roman" w:cs="Times New Roman"/>
          <w:sz w:val="24"/>
          <w:szCs w:val="24"/>
          <w:lang w:val="en-IN" w:eastAsia="zh-CN"/>
        </w:rPr>
      </w:pPr>
    </w:p>
    <w:p w14:paraId="19CF3B06" w14:textId="77777777" w:rsidR="00AC1E94" w:rsidRPr="00AC1E94" w:rsidRDefault="00AC1E94">
      <w:pPr>
        <w:spacing w:after="210" w:line="360" w:lineRule="auto"/>
        <w:rPr>
          <w:rFonts w:eastAsia="Georgia" w:hAnsi="Georgia" w:cs="Georgia"/>
          <w:b/>
          <w:color w:val="000000"/>
          <w:sz w:val="39"/>
          <w:lang w:val="en-IN"/>
        </w:rPr>
      </w:pPr>
    </w:p>
    <w:p w14:paraId="3EC57C07" w14:textId="77777777" w:rsidR="00AC1E94" w:rsidRDefault="00AC1E94">
      <w:pPr>
        <w:spacing w:after="210" w:line="360" w:lineRule="auto"/>
        <w:rPr>
          <w:rFonts w:eastAsia="Georgia" w:hAnsi="Georgia" w:cs="Georgia"/>
          <w:b/>
          <w:color w:val="000000"/>
          <w:sz w:val="39"/>
        </w:rPr>
      </w:pPr>
    </w:p>
    <w:p w14:paraId="6E980D59" w14:textId="77777777" w:rsidR="00AC1E94" w:rsidRDefault="00AC1E94">
      <w:pPr>
        <w:spacing w:after="210" w:line="360" w:lineRule="auto"/>
        <w:rPr>
          <w:rFonts w:eastAsia="Georgia" w:hAnsi="Georgia" w:cs="Georgia"/>
          <w:b/>
          <w:color w:val="000000"/>
          <w:sz w:val="39"/>
        </w:rPr>
      </w:pPr>
    </w:p>
    <w:p w14:paraId="52233DD8" w14:textId="079808D8" w:rsidR="00CB417D" w:rsidRDefault="00000000">
      <w:pPr>
        <w:spacing w:after="210" w:line="360" w:lineRule="auto"/>
      </w:pPr>
      <w:r>
        <w:rPr>
          <w:rFonts w:eastAsia="Georgia" w:hAnsi="Georgia" w:cs="Georgia"/>
          <w:color w:val="000000"/>
        </w:rPr>
        <w:t>Understanding Ipamorelin: Benefits and Uses for Growth Hormone Support</w:t>
      </w:r>
      <w:r>
        <w:rPr>
          <w:rFonts w:eastAsia="Georgia" w:hAnsi="Georgia" w:cs="Georgia"/>
          <w:color w:val="000000"/>
        </w:rPr>
        <w:br/>
      </w:r>
      <w:hyperlink r:id="rId5">
        <w:r>
          <w:rPr>
            <w:rFonts w:ascii="Helvetica Neue" w:eastAsia="Helvetica Neue" w:hAnsi="Helvetica Neue" w:cs="Helvetica Neue"/>
            <w:u w:val="single"/>
          </w:rPr>
          <w:t>March 29, 2026</w:t>
        </w:r>
      </w:hyperlink>
      <w:r>
        <w:rPr>
          <w:rFonts w:eastAsia="Georgia" w:hAnsi="Georgia" w:cs="Georgia"/>
          <w:color w:val="000000"/>
        </w:rPr>
        <w:br/>
      </w:r>
      <w:hyperlink r:id="rId6">
        <w:r>
          <w:rPr>
            <w:rFonts w:ascii="Helvetica Neue" w:eastAsia="Helvetica Neue" w:hAnsi="Helvetica Neue" w:cs="Helvetica Neue"/>
            <w:u w:val="single"/>
          </w:rPr>
          <w:t>Mike Cordova</w:t>
        </w:r>
      </w:hyperlink>
      <w:r>
        <w:rPr>
          <w:rFonts w:eastAsia="Georgia" w:hAnsi="Georgia" w:cs="Georgia"/>
          <w:color w:val="000000"/>
        </w:rPr>
        <w:br/>
        <w:t>Ipamorelin: A Complete Guide to This Selective Growth Hormone Secretagogue</w:t>
      </w:r>
      <w:r>
        <w:rPr>
          <w:rFonts w:eastAsia="Georgia" w:hAnsi="Georgia" w:cs="Georgia"/>
          <w:color w:val="000000"/>
        </w:rPr>
        <w:br/>
        <w:t>Ipamorelin has emerged as one of the most discussed peptides in modern functional medicine. If you’ve been researching ways to optimize recovery, improve sleep, or support body composition, you’ve likely come across this compound. Here’s what you need to know about how it works, what the research shows, and whether it might fit into your health plan.</w:t>
      </w:r>
      <w:r>
        <w:rPr>
          <w:rFonts w:eastAsia="Georgia" w:hAnsi="Georgia" w:cs="Georgia"/>
          <w:color w:val="000000"/>
        </w:rPr>
        <w:br/>
        <w:t>Quick Overview of Ipamorelin</w:t>
      </w:r>
      <w:r>
        <w:rPr>
          <w:rFonts w:eastAsia="Georgia" w:hAnsi="Georgia" w:cs="Georgia"/>
          <w:color w:val="000000"/>
        </w:rPr>
        <w:br/>
        <w:t>Ipamorelin is a synthetic growth hormone releasing peptide first described in a landmark 1998 study published in the European Journal of Endocrinology. Researchers identified it as the inaugural selective growth hormone secretagogue—meaning it stimulates the body to release growth hormone without significantly raising cortisol or ACTH levels. This selectivity set it apart from earlier peptides like GHRP-6, which provoked broader hormonal responses.</w:t>
      </w:r>
      <w:r>
        <w:rPr>
          <w:rFonts w:eastAsia="Georgia" w:hAnsi="Georgia" w:cs="Georgia"/>
          <w:color w:val="000000"/>
        </w:rPr>
        <w:br/>
        <w:t>Today, ipamorelin therapy is used off label under medical supervision for goals including faster recovery, better sleep, improved body composition, and healthy aging support. It’s not the same as taking synthetic HGH; rather, it amplifies your body’s own natural growth hormone production through pulsatile secretion patterns.</w:t>
      </w:r>
      <w:r>
        <w:rPr>
          <w:rFonts w:eastAsia="Georgia" w:hAnsi="Georgia" w:cs="Georgia"/>
          <w:color w:val="000000"/>
        </w:rPr>
        <w:br/>
        <w:t>What Is Ipamorelin?</w:t>
      </w:r>
      <w:r>
        <w:rPr>
          <w:rFonts w:eastAsia="Georgia" w:hAnsi="Georgia" w:cs="Georgia"/>
          <w:color w:val="000000"/>
        </w:rPr>
        <w:br/>
        <w:t>Ipamorelin is a synthetic pentapeptide classified as both a growth hormone releasing peptide and growth hormone secretagogue. Developed in the 1990s, it was engineered as a more selective alternative to older GHRPs through specific chemical modifications.</w:t>
      </w:r>
      <w:r>
        <w:rPr>
          <w:rFonts w:eastAsia="Georgia" w:hAnsi="Georgia" w:cs="Georgia"/>
          <w:color w:val="000000"/>
        </w:rPr>
        <w:br/>
      </w:r>
      <w:r>
        <w:rPr>
          <w:rFonts w:eastAsia="Georgia" w:hAnsi="Georgia" w:cs="Georgia"/>
          <w:color w:val="000000"/>
        </w:rPr>
        <w:lastRenderedPageBreak/>
        <w:t>The peptide works by binding to the ghrelin receptor (GHS-R1a) located in the pituitary gland and hypothalamus. When ipamorelin acts on these receptors, it stimulates GH release from the anterior pituitary—amplifying your body’s existing hormone pulses rather than introducing external hormone.</w:t>
      </w:r>
      <w:r>
        <w:rPr>
          <w:rFonts w:eastAsia="Georgia" w:hAnsi="Georgia" w:cs="Georgia"/>
          <w:color w:val="000000"/>
        </w:rPr>
        <w:br/>
        <w:t>Chemically, ipamorelin differs from earlier peptides like GHRP-1 by lacking the central Ala-Trp dipeptide. This structural change accounts for its higher selectivity for GH over other pituitary hormones. Research by Raun K, Hansen BS, and colleagues established these properties through extensive pharmaceutical research in both animal and human models.</w:t>
      </w:r>
      <w:r>
        <w:rPr>
          <w:rFonts w:eastAsia="Georgia" w:hAnsi="Georgia" w:cs="Georgia"/>
          <w:color w:val="000000"/>
        </w:rPr>
        <w:br/>
        <w:t>It’s worth noting that ipamorelin remains non-FDA-approved for anti-aging, fat loss, or performance applications in most jurisdictions. Clinicians experienced with peptide therapies prescribe it off label based on individual patient assessments.</w:t>
      </w:r>
      <w:r>
        <w:rPr>
          <w:rFonts w:eastAsia="Georgia" w:hAnsi="Georgia" w:cs="Georgia"/>
          <w:color w:val="000000"/>
        </w:rPr>
        <w:br/>
        <w:t>How Ipamorelin Works (Mechanism of Action)</w:t>
      </w:r>
      <w:r>
        <w:rPr>
          <w:rFonts w:eastAsia="Georgia" w:hAnsi="Georgia" w:cs="Georgia"/>
          <w:color w:val="000000"/>
        </w:rPr>
        <w:br/>
        <w:t>Growth hormone secretion follows a pulsatile pattern orchestrated by your hypothalamus and pituitary. Three main players regulate this: growth hormone releasing hormone stimulates release, somatostatin inhibits it, and ghrelin amplifies pulses. The largest GH surges typically occur during deep sleep.</w:t>
      </w:r>
      <w:r>
        <w:rPr>
          <w:rFonts w:eastAsia="Georgia" w:hAnsi="Georgia" w:cs="Georgia"/>
          <w:color w:val="000000"/>
        </w:rPr>
        <w:br/>
        <w:t>Ipamorelin mimics ghrelin by acting as a GHRP receptor agonist at the GHS-R1a receptor. This triggers intracellular signaling cascades that increase calcium influx in somatotroph cells, ultimately promoting GH exocytosis. The peptide stimulates GH release effectively—studies show an EC50 of 1.3±0.4 nmol/L in rat pituitary cells, mirroring what’s seen with </w:t>
      </w:r>
      <w:hyperlink r:id="rId7">
        <w:r>
          <w:rPr>
            <w:rFonts w:ascii="Helvetica Neue" w:eastAsia="Helvetica Neue" w:hAnsi="Helvetica Neue" w:cs="Helvetica Neue"/>
            <w:u w:val="single"/>
          </w:rPr>
          <w:t>modern peptide drug development processes</w:t>
        </w:r>
      </w:hyperlink>
      <w:r>
        <w:rPr>
          <w:rFonts w:eastAsia="Georgia" w:hAnsi="Georgia" w:cs="Georgia"/>
          <w:color w:val="000000"/>
        </w:rPr>
        <w:t>.</w:t>
      </w:r>
      <w:r>
        <w:rPr>
          <w:rFonts w:eastAsia="Georgia" w:hAnsi="Georgia" w:cs="Georgia"/>
          <w:color w:val="000000"/>
        </w:rPr>
        <w:br/>
        <w:t>What makes ipamorelin distinctive is what it doesn’t do. Unlike GHRP-2 or GHRP-6, it produces minimal effects on ACTH, cortisol, FSH, LH, TSH, or prolactin at therapeutic doses. Research by Andersen PH, Ankersen M, and Madsen K demonstrated this selectivity persists even at doses exceeding the ED50 by over 200-fold.</w:t>
      </w:r>
      <w:r>
        <w:rPr>
          <w:rFonts w:eastAsia="Georgia" w:hAnsi="Georgia" w:cs="Georgia"/>
          <w:color w:val="000000"/>
        </w:rPr>
        <w:br/>
        <w:t>The elevated GH indirectly increases circulating IGF-1 via liver metabolism, supporting muscle, bone, and connective tissue health. Clinicians often time administration before sleep to align with natural nocturnal GH peaks, maximizing efficacy while preserving physiological rhythms.</w:t>
      </w:r>
    </w:p>
    <w:p w14:paraId="2D087889" w14:textId="77777777" w:rsidR="00CB417D" w:rsidRDefault="00000000">
      <w:pPr>
        <w:spacing w:after="210" w:line="360" w:lineRule="auto"/>
      </w:pPr>
      <w:r>
        <w:rPr>
          <w:rFonts w:eastAsia="Georgia" w:hAnsi="Georgia" w:cs="Georgia"/>
          <w:color w:val="000000"/>
        </w:rPr>
        <w:t>Evidence and Research Background</w:t>
      </w:r>
      <w:r>
        <w:rPr>
          <w:rFonts w:eastAsia="Georgia" w:hAnsi="Georgia" w:cs="Georgia"/>
          <w:color w:val="000000"/>
        </w:rPr>
        <w:br/>
        <w:t>The foundational 1998 publication in the European Journal of Endocrinology established ipamorelin as the “first selective growth hormone secretagogue.” Key findings demonstrated strong GH-releasing efficacy in primary rat pituitary cells, anesthetized rats (ED50 80±42 nmol/kg), and conscious swine (ED50 2.3±0.03 nmol/kg)—all with minimal impact on stress hormones.</w:t>
      </w:r>
      <w:r>
        <w:rPr>
          <w:rFonts w:eastAsia="Georgia" w:hAnsi="Georgia" w:cs="Georgia"/>
          <w:color w:val="000000"/>
        </w:rPr>
        <w:br/>
        <w:t>Comparative evaluations showed ipamorelin’s GH-stimulating potency matched GHRP-6 (Emax 1545±250 ng/mL in rats) while producing negligible ACTH or cortisol elevation. This profile propelled it toward clinical candidacy, including Phase II trials for postoperative ileus sponsored by Helsinn Therapeutics.</w:t>
      </w:r>
      <w:r>
        <w:rPr>
          <w:rFonts w:eastAsia="Georgia" w:hAnsi="Georgia" w:cs="Georgia"/>
          <w:color w:val="000000"/>
        </w:rPr>
        <w:br/>
      </w:r>
      <w:r>
        <w:rPr>
          <w:rFonts w:eastAsia="Georgia" w:hAnsi="Georgia" w:cs="Georgia"/>
          <w:color w:val="000000"/>
        </w:rPr>
        <w:lastRenderedPageBreak/>
        <w:t>A 1999 human pharmacokinetic study with 40 participants validated dose-dependent GH secretion peaking within 60 minutes of administration. The half-life approximates two hours, allowing precise dosing control.</w:t>
      </w:r>
      <w:r>
        <w:rPr>
          <w:rFonts w:eastAsia="Georgia" w:hAnsi="Georgia" w:cs="Georgia"/>
          <w:color w:val="000000"/>
        </w:rPr>
        <w:br/>
        <w:t>However, large-scale outcome trials examining hard endpoints—mortality, cancer risk, cardiovascular events—remain limited. Much current clinical application extrapolates from mechanistic data and smaller studies. This evidence gap means applications for longevity, performance, or body composition qualify as off-label, requiring careful interpretation alongside promising preliminary findings.</w:t>
      </w:r>
      <w:r>
        <w:rPr>
          <w:rFonts w:eastAsia="Georgia" w:hAnsi="Georgia" w:cs="Georgia"/>
          <w:color w:val="000000"/>
        </w:rPr>
        <w:br/>
        <w:t>Key Benefits Associated With Ipamorelin Therapy</w:t>
      </w:r>
      <w:r>
        <w:rPr>
          <w:rFonts w:eastAsia="Georgia" w:hAnsi="Georgia" w:cs="Georgia"/>
          <w:color w:val="000000"/>
        </w:rPr>
        <w:br/>
        <w:t>Individual responses vary significantly based on baseline GH levels, lifestyle adherence, and existing health conditions. Benefits reported in clinical practice and small studies include:</w:t>
      </w:r>
      <w:r>
        <w:rPr>
          <w:rFonts w:eastAsia="Georgia" w:hAnsi="Georgia" w:cs="Georgia"/>
          <w:color w:val="000000"/>
        </w:rPr>
        <w:br/>
        <w:t>Benefit CategoryTypical TimelineNotes</w:t>
      </w:r>
      <w:r>
        <w:rPr>
          <w:rFonts w:eastAsia="Georgia" w:hAnsi="Georgia" w:cs="Georgia"/>
          <w:color w:val="000000"/>
        </w:rPr>
        <w:br/>
        <w:t>Sleep quality</w:t>
      </w:r>
      <w:r>
        <w:rPr>
          <w:rFonts w:eastAsia="Georgia" w:hAnsi="Georgia" w:cs="Georgia"/>
          <w:color w:val="000000"/>
        </w:rPr>
        <w:br/>
        <w:t>1-3 weeks</w:t>
      </w:r>
      <w:r>
        <w:rPr>
          <w:rFonts w:eastAsia="Georgia" w:hAnsi="Georgia" w:cs="Georgia"/>
          <w:color w:val="000000"/>
        </w:rPr>
        <w:br/>
        <w:t>Deeper slow-wave sleep with evening dosing</w:t>
      </w:r>
      <w:r>
        <w:rPr>
          <w:rFonts w:eastAsia="Georgia" w:hAnsi="Georgia" w:cs="Georgia"/>
          <w:color w:val="000000"/>
        </w:rPr>
        <w:br/>
        <w:t>Recovery from exercise/injury</w:t>
      </w:r>
      <w:r>
        <w:rPr>
          <w:rFonts w:eastAsia="Georgia" w:hAnsi="Georgia" w:cs="Georgia"/>
          <w:color w:val="000000"/>
        </w:rPr>
        <w:br/>
        <w:t>1-3 weeks</w:t>
      </w:r>
      <w:r>
        <w:rPr>
          <w:rFonts w:eastAsia="Georgia" w:hAnsi="Georgia" w:cs="Georgia"/>
          <w:color w:val="000000"/>
        </w:rPr>
        <w:br/>
        <w:t>Enhanced tissue repair via IGF-1</w:t>
      </w:r>
      <w:r>
        <w:rPr>
          <w:rFonts w:eastAsia="Georgia" w:hAnsi="Georgia" w:cs="Georgia"/>
          <w:color w:val="000000"/>
        </w:rPr>
        <w:br/>
        <w:t>Lean muscle mass</w:t>
      </w:r>
      <w:r>
        <w:rPr>
          <w:rFonts w:eastAsia="Georgia" w:hAnsi="Georgia" w:cs="Georgia"/>
          <w:color w:val="000000"/>
        </w:rPr>
        <w:br/>
        <w:t>4-12 weeks</w:t>
      </w:r>
      <w:r>
        <w:rPr>
          <w:rFonts w:eastAsia="Georgia" w:hAnsi="Georgia" w:cs="Georgia"/>
          <w:color w:val="000000"/>
        </w:rPr>
        <w:br/>
        <w:t>2-5% gains when paired with resistance training</w:t>
      </w:r>
      <w:r>
        <w:rPr>
          <w:rFonts w:eastAsia="Georgia" w:hAnsi="Georgia" w:cs="Georgia"/>
          <w:color w:val="000000"/>
        </w:rPr>
        <w:br/>
        <w:t>Fat loss</w:t>
      </w:r>
      <w:r>
        <w:rPr>
          <w:rFonts w:eastAsia="Georgia" w:hAnsi="Georgia" w:cs="Georgia"/>
          <w:color w:val="000000"/>
        </w:rPr>
        <w:br/>
        <w:t>8-12 weeks</w:t>
      </w:r>
      <w:r>
        <w:rPr>
          <w:rFonts w:eastAsia="Georgia" w:hAnsi="Georgia" w:cs="Georgia"/>
          <w:color w:val="000000"/>
        </w:rPr>
        <w:br/>
        <w:t>1-3% body fat reduction, especially visceral</w:t>
      </w:r>
      <w:r>
        <w:rPr>
          <w:rFonts w:eastAsia="Georgia" w:hAnsi="Georgia" w:cs="Georgia"/>
          <w:color w:val="000000"/>
        </w:rPr>
        <w:br/>
        <w:t>Energy and well-being</w:t>
      </w:r>
      <w:r>
        <w:rPr>
          <w:rFonts w:eastAsia="Georgia" w:hAnsi="Georgia" w:cs="Georgia"/>
          <w:color w:val="000000"/>
        </w:rPr>
        <w:br/>
        <w:t>2-4 weeks</w:t>
      </w:r>
      <w:r>
        <w:rPr>
          <w:rFonts w:eastAsia="Georgia" w:hAnsi="Georgia" w:cs="Georgia"/>
          <w:color w:val="000000"/>
        </w:rPr>
        <w:br/>
        <w:t>Subjective improvements common</w:t>
      </w:r>
      <w:r>
        <w:rPr>
          <w:rFonts w:eastAsia="Georgia" w:hAnsi="Georgia" w:cs="Georgia"/>
          <w:color w:val="000000"/>
        </w:rPr>
        <w:br/>
        <w:t>The mechanisms driving these outcomes center on GH and IGF-1’s effects on protein synthesis, fat metabolism, collagen production, and cellular repair. Some patients report secondary benefits including joint comfort, improved skin elasticity, and better stamina during workouts.</w:t>
      </w:r>
      <w:r>
        <w:rPr>
          <w:rFonts w:eastAsia="Georgia" w:hAnsi="Georgia" w:cs="Georgia"/>
          <w:color w:val="000000"/>
        </w:rPr>
        <w:br/>
        <w:t>Critically, ipamorelin works best within comprehensive protocols that include adequate protein intake (1.6-2.2 g/kg), progressive resistance training, and quality sleep. It’s a tool that amplifies good habits—not a replacement for them.</w:t>
      </w:r>
    </w:p>
    <w:p w14:paraId="3904FD48" w14:textId="77777777" w:rsidR="00CB417D" w:rsidRDefault="00000000">
      <w:pPr>
        <w:spacing w:after="210" w:line="360" w:lineRule="auto"/>
      </w:pPr>
      <w:r>
        <w:rPr>
          <w:rFonts w:eastAsia="Georgia" w:hAnsi="Georgia" w:cs="Georgia"/>
          <w:color w:val="000000"/>
        </w:rPr>
        <w:t>Ipamorelin vs. Other Growth Hormone Secretagogues</w:t>
      </w:r>
      <w:r>
        <w:rPr>
          <w:rFonts w:eastAsia="Georgia" w:hAnsi="Georgia" w:cs="Georgia"/>
          <w:color w:val="000000"/>
        </w:rPr>
        <w:br/>
        <w:t>Several peptide classes can enhance GH release. Understanding their differences helps inform selection:</w:t>
      </w:r>
      <w:r>
        <w:rPr>
          <w:rFonts w:eastAsia="Georgia" w:hAnsi="Georgia" w:cs="Georgia"/>
          <w:color w:val="000000"/>
        </w:rPr>
        <w:br/>
      </w:r>
      <w:r>
        <w:rPr>
          <w:rFonts w:eastAsia="Georgia" w:hAnsi="Georgia" w:cs="Georgia"/>
          <w:color w:val="000000"/>
        </w:rPr>
        <w:lastRenderedPageBreak/>
        <w:t>Ipamorelin vs. Sermorelin:</w:t>
      </w:r>
      <w:r>
        <w:rPr>
          <w:rFonts w:eastAsia="Georgia" w:hAnsi="Georgia" w:cs="Georgia"/>
          <w:color w:val="000000"/>
        </w:rPr>
        <w:br/>
        <w:t>Sermorelin is a synthetic analog of growth hormone releasing hormone; ipamorelin targets the ghrelin receptor</w:t>
      </w:r>
      <w:r>
        <w:rPr>
          <w:rFonts w:eastAsia="Georgia" w:hAnsi="Georgia" w:cs="Georgia"/>
          <w:color w:val="000000"/>
        </w:rPr>
        <w:br/>
        <w:t>Sermorelin stimulates via GHRH-R; ipamorelin via GHS-R1a</w:t>
      </w:r>
      <w:r>
        <w:rPr>
          <w:rFonts w:eastAsia="Georgia" w:hAnsi="Georgia" w:cs="Georgia"/>
          <w:color w:val="000000"/>
        </w:rPr>
        <w:br/>
        <w:t>Clinicians sometimes combine both for complementary stimulation, achieving 5-10x baseline GH elevation</w:t>
      </w:r>
      <w:r>
        <w:rPr>
          <w:rFonts w:eastAsia="Georgia" w:hAnsi="Georgia" w:cs="Georgia"/>
          <w:color w:val="000000"/>
        </w:rPr>
        <w:br/>
        <w:t>Ipamorelin vs. Tesamorelin:</w:t>
      </w:r>
      <w:r>
        <w:rPr>
          <w:rFonts w:eastAsia="Georgia" w:hAnsi="Georgia" w:cs="Georgia"/>
          <w:color w:val="000000"/>
        </w:rPr>
        <w:br/>
        <w:t>Tesamorelin holds FDA approval for HIV-associated lipodystrophy with robust data showing </w:t>
      </w:r>
      <w:hyperlink r:id="rId8">
        <w:r>
          <w:rPr>
            <w:rFonts w:ascii="Helvetica Neue" w:eastAsia="Helvetica Neue" w:hAnsi="Helvetica Neue" w:cs="Helvetica Neue"/>
            <w:u w:val="single"/>
          </w:rPr>
          <w:t>15-20% visceral fat reduction</w:t>
        </w:r>
      </w:hyperlink>
      <w:r>
        <w:rPr>
          <w:rFonts w:eastAsia="Georgia" w:hAnsi="Georgia" w:cs="Georgia"/>
          <w:color w:val="000000"/>
        </w:rPr>
        <w:br/>
        <w:t>Ipamorelin lacks equivalent approval; body composition data remain more preliminary</w:t>
      </w:r>
      <w:r>
        <w:rPr>
          <w:rFonts w:eastAsia="Georgia" w:hAnsi="Georgia" w:cs="Georgia"/>
          <w:color w:val="000000"/>
        </w:rPr>
        <w:br/>
        <w:t>Tesamorelin may carry higher immunogenicity risk</w:t>
      </w:r>
      <w:r>
        <w:rPr>
          <w:rFonts w:eastAsia="Georgia" w:hAnsi="Georgia" w:cs="Georgia"/>
          <w:color w:val="000000"/>
        </w:rPr>
        <w:br/>
        <w:t>Ipamorelin vs. Older GHRPs:</w:t>
      </w:r>
      <w:r>
        <w:rPr>
          <w:rFonts w:eastAsia="Georgia" w:hAnsi="Georgia" w:cs="Georgia"/>
          <w:color w:val="000000"/>
        </w:rPr>
        <w:br/>
        <w:t>GHRP-2 and GHRP-6 effectively stimulate GH but raise cortisol and prolactin substantially (30-50% increases)</w:t>
      </w:r>
      <w:r>
        <w:rPr>
          <w:rFonts w:eastAsia="Georgia" w:hAnsi="Georgia" w:cs="Georgia"/>
          <w:color w:val="000000"/>
        </w:rPr>
        <w:br/>
        <w:t>GHRP-6 triggers significant appetite stimulation</w:t>
      </w:r>
      <w:r>
        <w:rPr>
          <w:rFonts w:eastAsia="Georgia" w:hAnsi="Georgia" w:cs="Georgia"/>
          <w:color w:val="000000"/>
        </w:rPr>
        <w:br/>
        <w:t>Ipamorelin maintains selectivity without these hormonal disruptions</w:t>
      </w:r>
      <w:r>
        <w:rPr>
          <w:rFonts w:eastAsia="Georgia" w:hAnsi="Georgia" w:cs="Georgia"/>
          <w:color w:val="000000"/>
        </w:rPr>
        <w:br/>
        <w:t>Combination protocols like </w:t>
      </w:r>
      <w:hyperlink r:id="rId9">
        <w:r>
          <w:rPr>
            <w:rFonts w:ascii="Helvetica Neue" w:eastAsia="Helvetica Neue" w:hAnsi="Helvetica Neue" w:cs="Helvetica Neue"/>
            <w:u w:val="single"/>
          </w:rPr>
          <w:t>CJC-1295 plus ipamorelin</w:t>
        </w:r>
      </w:hyperlink>
      <w:r>
        <w:rPr>
          <w:rFonts w:eastAsia="Georgia" w:hAnsi="Georgia" w:cs="Georgia"/>
          <w:color w:val="000000"/>
        </w:rPr>
        <w:t> leverage ipamorelin’s rapid pulse initiation with CJC-1295’s extended half-life (6-8 days) for sustained IGF-1 elevation. No single agent suits everyone—selection depends on goals, medical history, and practitioner expertise.</w:t>
      </w:r>
      <w:r>
        <w:rPr>
          <w:rFonts w:eastAsia="Georgia" w:hAnsi="Georgia" w:cs="Georgia"/>
          <w:color w:val="000000"/>
        </w:rPr>
        <w:br/>
        <w:t>Typical Protocols and What to Expect</w:t>
      </w:r>
      <w:r>
        <w:rPr>
          <w:rFonts w:eastAsia="Georgia" w:hAnsi="Georgia" w:cs="Georgia"/>
          <w:color w:val="000000"/>
        </w:rPr>
        <w:br/>
        <w:t>Administration involves subcutaneous injection into abdominal fat using insulin syringes. Standard protocols range from 100-300 mcg per dose, typically once or twice daily—often in the evening to align with nocturnal GH peaks.</w:t>
      </w:r>
      <w:r>
        <w:rPr>
          <w:rFonts w:eastAsia="Georgia" w:hAnsi="Georgia" w:cs="Georgia"/>
          <w:color w:val="000000"/>
        </w:rPr>
        <w:br/>
        <w:t>Common protocol structure:</w:t>
      </w:r>
      <w:r>
        <w:rPr>
          <w:rFonts w:eastAsia="Georgia" w:hAnsi="Georgia" w:cs="Georgia"/>
          <w:color w:val="000000"/>
        </w:rPr>
        <w:br/>
        <w:t>Cycle length: 8-12 weeks</w:t>
      </w:r>
      <w:r>
        <w:rPr>
          <w:rFonts w:eastAsia="Georgia" w:hAnsi="Georgia" w:cs="Georgia"/>
          <w:color w:val="000000"/>
        </w:rPr>
        <w:br/>
        <w:t>Breaks: 4-8 weeks between cycles</w:t>
      </w:r>
      <w:r>
        <w:rPr>
          <w:rFonts w:eastAsia="Georgia" w:hAnsi="Georgia" w:cs="Georgia"/>
          <w:color w:val="000000"/>
        </w:rPr>
        <w:br/>
        <w:t>Dosing: Often starts at 100-200 mcg, adjusted based on IGF-1 levels and response</w:t>
      </w:r>
      <w:r>
        <w:rPr>
          <w:rFonts w:eastAsia="Georgia" w:hAnsi="Georgia" w:cs="Georgia"/>
          <w:color w:val="000000"/>
        </w:rPr>
        <w:br/>
        <w:t>Combinations: Frequently paired with CJC-1295 (100-200 mcg), especially in settings that prioritize </w:t>
      </w:r>
      <w:hyperlink r:id="rId10">
        <w:r>
          <w:rPr>
            <w:rFonts w:ascii="Helvetica Neue" w:eastAsia="Helvetica Neue" w:hAnsi="Helvetica Neue" w:cs="Helvetica Neue"/>
            <w:u w:val="single"/>
          </w:rPr>
          <w:t>third-party-tested research peptides</w:t>
        </w:r>
      </w:hyperlink>
      <w:r>
        <w:rPr>
          <w:rFonts w:eastAsia="Georgia" w:hAnsi="Georgia" w:cs="Georgia"/>
          <w:color w:val="000000"/>
        </w:rPr>
        <w:br/>
        <w:t>Realistic expectation timeline:</w:t>
      </w:r>
      <w:r>
        <w:rPr>
          <w:rFonts w:eastAsia="Georgia" w:hAnsi="Georgia" w:cs="Georgia"/>
          <w:color w:val="000000"/>
        </w:rPr>
        <w:br/>
        <w:t>Weeks 1-3: Changes in sleep depth, better recovery between workouts, subtle energy improvements</w:t>
      </w:r>
      <w:r>
        <w:rPr>
          <w:rFonts w:eastAsia="Georgia" w:hAnsi="Georgia" w:cs="Georgia"/>
          <w:color w:val="000000"/>
        </w:rPr>
        <w:br/>
        <w:t>Weeks 4-8: Gradual body composition shifts—reduced fat, improved muscle fullness—when combined with proper nutrition and training</w:t>
      </w:r>
      <w:r>
        <w:rPr>
          <w:rFonts w:eastAsia="Georgia" w:hAnsi="Georgia" w:cs="Georgia"/>
          <w:color w:val="000000"/>
        </w:rPr>
        <w:br/>
        <w:t>Beyond 3 months: More pronounced physique changes, strength improvements (5-10%), enhanced vascularity for adherent patients</w:t>
      </w:r>
      <w:r>
        <w:rPr>
          <w:rFonts w:eastAsia="Georgia" w:hAnsi="Georgia" w:cs="Georgia"/>
          <w:color w:val="000000"/>
        </w:rPr>
        <w:br/>
        <w:t xml:space="preserve">Monitoring typically includes IGF-1 testing every 4-6 weeks (target range often 150-250 ng/mL), body </w:t>
      </w:r>
      <w:r>
        <w:rPr>
          <w:rFonts w:eastAsia="Georgia" w:hAnsi="Georgia" w:cs="Georgia"/>
          <w:color w:val="000000"/>
        </w:rPr>
        <w:lastRenderedPageBreak/>
        <w:t>composition assessment, and symptom tracking.</w:t>
      </w:r>
      <w:r>
        <w:rPr>
          <w:rFonts w:eastAsia="Georgia" w:hAnsi="Georgia" w:cs="Georgia"/>
          <w:color w:val="000000"/>
        </w:rPr>
        <w:br/>
        <w:t>Who May Be a Candidate for Ipamorelin?</w:t>
      </w:r>
      <w:r>
        <w:rPr>
          <w:rFonts w:eastAsia="Georgia" w:hAnsi="Georgia" w:cs="Georgia"/>
          <w:color w:val="000000"/>
        </w:rPr>
        <w:br/>
        <w:t>Typical candidates include:</w:t>
      </w:r>
      <w:r>
        <w:rPr>
          <w:rFonts w:eastAsia="Georgia" w:hAnsi="Georgia" w:cs="Georgia"/>
          <w:color w:val="000000"/>
        </w:rPr>
        <w:br/>
        <w:t>Adults over 35-40 experiencing age-related declines in muscle mass, recovery, or sleep quality</w:t>
      </w:r>
      <w:r>
        <w:rPr>
          <w:rFonts w:eastAsia="Georgia" w:hAnsi="Georgia" w:cs="Georgia"/>
          <w:color w:val="000000"/>
        </w:rPr>
        <w:br/>
        <w:t>Athletes and high-performers seeking optimized training capacity under medical supervision, who may also encounter </w:t>
      </w:r>
      <w:hyperlink r:id="rId11">
        <w:r>
          <w:rPr>
            <w:rFonts w:ascii="Helvetica Neue" w:eastAsia="Helvetica Neue" w:hAnsi="Helvetica Neue" w:cs="Helvetica Neue"/>
            <w:u w:val="single"/>
          </w:rPr>
          <w:t>a wide range of research peptide options</w:t>
        </w:r>
      </w:hyperlink>
      <w:r>
        <w:rPr>
          <w:rFonts w:eastAsia="Georgia" w:hAnsi="Georgia" w:cs="Georgia"/>
          <w:color w:val="000000"/>
        </w:rPr>
        <w:br/>
        <w:t>Individuals pursuing body recomposition as part of structured lifestyle interventions</w:t>
      </w:r>
      <w:r>
        <w:rPr>
          <w:rFonts w:eastAsia="Georgia" w:hAnsi="Georgia" w:cs="Georgia"/>
          <w:color w:val="000000"/>
        </w:rPr>
        <w:br/>
        <w:t>Responsible programs require comprehensive intake evaluations, baseline labs (IGF-1, fasting glucose, lipids, liver function, thyroid markers), and clear goal-setting before initiating treatment.</w:t>
      </w:r>
      <w:r>
        <w:rPr>
          <w:rFonts w:eastAsia="Georgia" w:hAnsi="Georgia" w:cs="Georgia"/>
          <w:color w:val="000000"/>
        </w:rPr>
        <w:br/>
        <w:t>Common exclusions:</w:t>
      </w:r>
      <w:r>
        <w:rPr>
          <w:rFonts w:eastAsia="Georgia" w:hAnsi="Georgia" w:cs="Georgia"/>
          <w:color w:val="000000"/>
        </w:rPr>
        <w:br/>
        <w:t>Active cancer or recent malignancy history (GH/IGF-1 carry theoretical mitogenic risks)</w:t>
      </w:r>
      <w:r>
        <w:rPr>
          <w:rFonts w:eastAsia="Georgia" w:hAnsi="Georgia" w:cs="Georgia"/>
          <w:color w:val="000000"/>
        </w:rPr>
        <w:br/>
        <w:t>Uncontrolled diabetes or severe endocrine disorders</w:t>
      </w:r>
      <w:r>
        <w:rPr>
          <w:rFonts w:eastAsia="Georgia" w:hAnsi="Georgia" w:cs="Georgia"/>
          <w:color w:val="000000"/>
        </w:rPr>
        <w:br/>
        <w:t>Pregnancy or breastfeeding</w:t>
      </w:r>
      <w:r>
        <w:rPr>
          <w:rFonts w:eastAsia="Georgia" w:hAnsi="Georgia" w:cs="Georgia"/>
          <w:color w:val="000000"/>
        </w:rPr>
        <w:br/>
        <w:t>Patients unable to commit to regular monitoring</w:t>
      </w:r>
      <w:r>
        <w:rPr>
          <w:rFonts w:eastAsia="Georgia" w:hAnsi="Georgia" w:cs="Georgia"/>
          <w:color w:val="000000"/>
        </w:rPr>
        <w:br/>
        <w:t>Decisions remain individualized, with clinicians weighing cardiovascular risk factors, metabolic markers, current medications, and oncologic history before prescribing any growth hormone secretagogue.</w:t>
      </w:r>
      <w:r>
        <w:rPr>
          <w:rFonts w:eastAsia="Georgia" w:hAnsi="Georgia" w:cs="Georgia"/>
          <w:color w:val="000000"/>
        </w:rPr>
        <w:br/>
        <w:t>Safety, Side Effects, and Precautions</w:t>
      </w:r>
      <w:r>
        <w:rPr>
          <w:rFonts w:eastAsia="Georgia" w:hAnsi="Georgia" w:cs="Georgia"/>
          <w:color w:val="000000"/>
        </w:rPr>
        <w:br/>
        <w:t>While ipamorelin demonstrates superior tolerability compared with older peptides or exogenous human growth hormone, any hormone-modulating therapy requires qualified supervision.</w:t>
      </w:r>
      <w:r>
        <w:rPr>
          <w:rFonts w:eastAsia="Georgia" w:hAnsi="Georgia" w:cs="Georgia"/>
          <w:color w:val="000000"/>
        </w:rPr>
        <w:br/>
        <w:t>Common mild effects (&lt;20% incidence):</w:t>
      </w:r>
      <w:r>
        <w:rPr>
          <w:rFonts w:eastAsia="Georgia" w:hAnsi="Georgia" w:cs="Georgia"/>
          <w:color w:val="000000"/>
        </w:rPr>
        <w:br/>
        <w:t>Temporary fatigue or sleepiness post-dose</w:t>
      </w:r>
      <w:r>
        <w:rPr>
          <w:rFonts w:eastAsia="Georgia" w:hAnsi="Georgia" w:cs="Georgia"/>
          <w:color w:val="000000"/>
        </w:rPr>
        <w:br/>
        <w:t>Mild headache or flushing</w:t>
      </w:r>
      <w:r>
        <w:rPr>
          <w:rFonts w:eastAsia="Georgia" w:hAnsi="Georgia" w:cs="Georgia"/>
          <w:color w:val="000000"/>
        </w:rPr>
        <w:br/>
        <w:t>Injection site reactions (redness, itching)</w:t>
      </w:r>
      <w:r>
        <w:rPr>
          <w:rFonts w:eastAsia="Georgia" w:hAnsi="Georgia" w:cs="Georgia"/>
          <w:color w:val="000000"/>
        </w:rPr>
        <w:br/>
        <w:t>Slight appetite increase or joint stiffness</w:t>
      </w:r>
      <w:r>
        <w:rPr>
          <w:rFonts w:eastAsia="Georgia" w:hAnsi="Georgia" w:cs="Georgia"/>
          <w:color w:val="000000"/>
        </w:rPr>
        <w:br/>
        <w:t>Rare but serious concerns:</w:t>
      </w:r>
      <w:r>
        <w:rPr>
          <w:rFonts w:eastAsia="Georgia" w:hAnsi="Georgia" w:cs="Georgia"/>
          <w:color w:val="000000"/>
        </w:rPr>
        <w:br/>
        <w:t>Theoretical acceleration of undiagnosed malignancy via growth signaling</w:t>
      </w:r>
      <w:r>
        <w:rPr>
          <w:rFonts w:eastAsia="Georgia" w:hAnsi="Georgia" w:cs="Georgia"/>
          <w:color w:val="000000"/>
        </w:rPr>
        <w:br/>
        <w:t>Fluid retention or blood pressure changes in susceptible individuals</w:t>
      </w:r>
      <w:r>
        <w:rPr>
          <w:rFonts w:eastAsia="Georgia" w:hAnsi="Georgia" w:cs="Georgia"/>
          <w:color w:val="000000"/>
        </w:rPr>
        <w:br/>
        <w:t>Glucose metabolism alterations (fasting insulin rises &lt;10% in healthy subjects)</w:t>
      </w:r>
      <w:r>
        <w:rPr>
          <w:rFonts w:eastAsia="Georgia" w:hAnsi="Georgia" w:cs="Georgia"/>
          <w:color w:val="000000"/>
        </w:rPr>
        <w:br/>
        <w:t>Critical safety practices include starting conservatively, monitoring labs regularly, and stopping immediately if concerning symptoms develop (severe edema, vision changes, chest pain).</w:t>
      </w:r>
      <w:r>
        <w:rPr>
          <w:rFonts w:eastAsia="Georgia" w:hAnsi="Georgia" w:cs="Georgia"/>
          <w:color w:val="000000"/>
        </w:rPr>
        <w:br/>
        <w:t>Avoid “research-grade” peptides from unregulated online sources. These lack purity verification (some contain &gt;5% impurities or endotoxins) and sterility assurance, and proper </w:t>
      </w:r>
      <w:hyperlink r:id="rId12">
        <w:r>
          <w:rPr>
            <w:rFonts w:ascii="Helvetica Neue" w:eastAsia="Helvetica Neue" w:hAnsi="Helvetica Neue" w:cs="Helvetica Neue"/>
            <w:u w:val="single"/>
          </w:rPr>
          <w:t>age-verified research-only suppliers</w:t>
        </w:r>
      </w:hyperlink>
      <w:r>
        <w:rPr>
          <w:rFonts w:eastAsia="Georgia" w:hAnsi="Georgia" w:cs="Georgia"/>
          <w:color w:val="000000"/>
        </w:rPr>
        <w:t> are not a substitute for prescription-grade products in clinical use. If you are a researcher sourcing experimental compounds such as retatrutide, follow strict guidance on </w:t>
      </w:r>
      <w:hyperlink r:id="rId13">
        <w:r>
          <w:rPr>
            <w:rFonts w:ascii="Helvetica Neue" w:eastAsia="Helvetica Neue" w:hAnsi="Helvetica Neue" w:cs="Helvetica Neue"/>
            <w:u w:val="single"/>
          </w:rPr>
          <w:t>where to buy retatrutide for research purposes</w:t>
        </w:r>
      </w:hyperlink>
      <w:r>
        <w:rPr>
          <w:rFonts w:eastAsia="Georgia" w:hAnsi="Georgia" w:cs="Georgia"/>
          <w:color w:val="000000"/>
        </w:rPr>
        <w:t xml:space="preserve"> to ensure appropriate quality controls. Legitimate ipamorelin should </w:t>
      </w:r>
      <w:r>
        <w:rPr>
          <w:rFonts w:eastAsia="Georgia" w:hAnsi="Georgia" w:cs="Georgia"/>
          <w:color w:val="000000"/>
        </w:rPr>
        <w:lastRenderedPageBreak/>
        <w:t>come via prescription from licensed clinicians using accredited 503B compounding pharmacies.</w:t>
      </w:r>
      <w:r>
        <w:rPr>
          <w:rFonts w:eastAsia="Georgia" w:hAnsi="Georgia" w:cs="Georgia"/>
          <w:color w:val="000000"/>
        </w:rPr>
        <w:br/>
        <w:t>Legal and Regulatory Status</w:t>
      </w:r>
      <w:r>
        <w:rPr>
          <w:rFonts w:eastAsia="Georgia" w:hAnsi="Georgia" w:cs="Georgia"/>
          <w:color w:val="000000"/>
        </w:rPr>
        <w:br/>
        <w:t>As of 2024-2026, ipamorelin holds no FDA approval in the United States for anti-aging, athletic performance, or body composition applications. Such uses are prescribed off label by clinicians experienced with peptide therapies.</w:t>
      </w:r>
      <w:r>
        <w:rPr>
          <w:rFonts w:eastAsia="Georgia" w:hAnsi="Georgia" w:cs="Georgia"/>
          <w:color w:val="000000"/>
        </w:rPr>
        <w:br/>
        <w:t>Key distinctions:</w:t>
      </w:r>
      <w:r>
        <w:rPr>
          <w:rFonts w:eastAsia="Georgia" w:hAnsi="Georgia" w:cs="Georgia"/>
          <w:color w:val="000000"/>
        </w:rPr>
        <w:br/>
        <w:t>Pharmaceutical-grade: Compounded under strict quality standards by licensed pharmacies, available via prescription</w:t>
      </w:r>
      <w:r>
        <w:rPr>
          <w:rFonts w:eastAsia="Georgia" w:hAnsi="Georgia" w:cs="Georgia"/>
          <w:color w:val="000000"/>
        </w:rPr>
        <w:br/>
        <w:t>Research-grade: Labeled for laboratory use only, without sterility or purity guarantees, not intended for human administration, even when studying repair-focused blends like </w:t>
      </w:r>
      <w:hyperlink r:id="rId14">
        <w:r>
          <w:rPr>
            <w:rFonts w:ascii="Helvetica Neue" w:eastAsia="Helvetica Neue" w:hAnsi="Helvetica Neue" w:cs="Helvetica Neue"/>
            <w:u w:val="single"/>
          </w:rPr>
          <w:t>BPC 157 and TB-500 combinations</w:t>
        </w:r>
      </w:hyperlink>
      <w:r>
        <w:rPr>
          <w:rFonts w:eastAsia="Georgia" w:hAnsi="Georgia" w:cs="Georgia"/>
          <w:color w:val="000000"/>
        </w:rPr>
        <w:br/>
        <w:t>Regulations vary internationally—the peptide maintains investigational status for certain applications in Europe. Readers should verify local rules regarding prescription, compounding, and marketing of peptide therapies in their jurisdiction.</w:t>
      </w:r>
      <w:r>
        <w:rPr>
          <w:rFonts w:eastAsia="Georgia" w:hAnsi="Georgia" w:cs="Georgia"/>
          <w:color w:val="000000"/>
        </w:rPr>
        <w:br/>
        <w:t>Practical Considerations and Next Steps</w:t>
      </w:r>
      <w:r>
        <w:rPr>
          <w:rFonts w:eastAsia="Georgia" w:hAnsi="Georgia" w:cs="Georgia"/>
          <w:color w:val="000000"/>
        </w:rPr>
        <w:br/>
        <w:t>Before considering ipamorelin, optimize foundational health factors that drive 50-70% of GH response:</w:t>
      </w:r>
      <w:r>
        <w:rPr>
          <w:rFonts w:eastAsia="Georgia" w:hAnsi="Georgia" w:cs="Georgia"/>
          <w:color w:val="000000"/>
        </w:rPr>
        <w:br/>
        <w:t>Sleep: 7-9 hours of quality rest nightly</w:t>
      </w:r>
      <w:r>
        <w:rPr>
          <w:rFonts w:eastAsia="Georgia" w:hAnsi="Georgia" w:cs="Georgia"/>
          <w:color w:val="000000"/>
        </w:rPr>
        <w:br/>
        <w:t>Training: Progressive resistance exercise 3-5 times weekly</w:t>
      </w:r>
      <w:r>
        <w:rPr>
          <w:rFonts w:eastAsia="Georgia" w:hAnsi="Georgia" w:cs="Georgia"/>
          <w:color w:val="000000"/>
        </w:rPr>
        <w:br/>
        <w:t>Nutrition: Adequate protein (1.6+ g/kg), whole foods emphasis</w:t>
      </w:r>
      <w:r>
        <w:rPr>
          <w:rFonts w:eastAsia="Georgia" w:hAnsi="Georgia" w:cs="Georgia"/>
          <w:color w:val="000000"/>
        </w:rPr>
        <w:br/>
        <w:t>Stress: Management through structured recovery practices</w:t>
      </w:r>
      <w:r>
        <w:rPr>
          <w:rFonts w:eastAsia="Georgia" w:hAnsi="Georgia" w:cs="Georgia"/>
          <w:color w:val="000000"/>
        </w:rPr>
        <w:br/>
        <w:t>When consulting clinicians, ask:</w:t>
      </w:r>
      <w:r>
        <w:rPr>
          <w:rFonts w:eastAsia="Georgia" w:hAnsi="Georgia" w:cs="Georgia"/>
          <w:color w:val="000000"/>
        </w:rPr>
        <w:br/>
        <w:t>“How will we monitor my response and safety over time?”</w:t>
      </w:r>
      <w:r>
        <w:rPr>
          <w:rFonts w:eastAsia="Georgia" w:hAnsi="Georgia" w:cs="Georgia"/>
          <w:color w:val="000000"/>
        </w:rPr>
        <w:br/>
        <w:t>“What alternatives exist if ipamorelin isn’t appropriate for me?”</w:t>
      </w:r>
      <w:r>
        <w:rPr>
          <w:rFonts w:eastAsia="Georgia" w:hAnsi="Georgia" w:cs="Georgia"/>
          <w:color w:val="000000"/>
        </w:rPr>
        <w:br/>
        <w:t>“How do we decide when to pause or discontinue treatment?”</w:t>
      </w:r>
      <w:r>
        <w:rPr>
          <w:rFonts w:eastAsia="Georgia" w:hAnsi="Georgia" w:cs="Georgia"/>
          <w:color w:val="000000"/>
        </w:rPr>
        <w:br/>
        <w:t>View ipamorelin as one tool within a broader health optimization strategy—not a substitute for consistent lifestyle habits. Work with practitioners who maintain transparency about sourcing, regulatory compliance, and realistic outcome expectations. The goal isn’t dependence on peptides but sustainable vitality built on informed, individualized protocols.</w:t>
      </w:r>
    </w:p>
    <w:p w14:paraId="0F758103" w14:textId="77777777" w:rsidR="00CB417D" w:rsidRDefault="00000000">
      <w:pPr>
        <w:spacing w:after="210" w:line="360" w:lineRule="auto"/>
      </w:pPr>
      <w:r>
        <w:rPr>
          <w:rFonts w:eastAsia="Georgia" w:hAnsi="Georgia" w:cs="Georgia"/>
          <w:color w:val="000000"/>
        </w:rPr>
        <w:t xml:space="preserve">Here’s a fresh, simple-English blog you can use on PeptraBio about Ipamorelin. It is </w:t>
      </w:r>
      <w:r>
        <w:rPr>
          <w:rFonts w:eastAsia="Georgia" w:hAnsi="Georgia" w:cs="Georgia"/>
          <w:b/>
          <w:color w:val="000000"/>
        </w:rPr>
        <w:t>not</w:t>
      </w:r>
      <w:r>
        <w:rPr>
          <w:rFonts w:eastAsia="Georgia" w:hAnsi="Georgia" w:cs="Georgia"/>
          <w:color w:val="000000"/>
        </w:rPr>
        <w:t xml:space="preserve"> copied from your source and keeps the focus on understanding the peptide, not selling therapy.</w:t>
      </w:r>
      <w:bookmarkStart w:id="0" w:name="fnref1"/>
      <w:bookmarkEnd w:id="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 w:name="fnref2"/>
      <w:bookmarkEnd w:id="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 w:name="fnref3"/>
      <w:bookmarkEnd w:id="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9E2F901" w14:textId="77777777" w:rsidR="00CB417D" w:rsidRDefault="009F3DDD">
      <w:pPr>
        <w:spacing w:before="210" w:after="0" w:line="360" w:lineRule="auto"/>
      </w:pPr>
      <w:r>
        <w:rPr>
          <w:noProof/>
        </w:rPr>
      </w:r>
      <w:r>
        <w:rPr>
          <w:noProof/>
        </w:rPr>
        <w:pict w14:anchorId="065D3A65">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775596" w14:textId="77777777" w:rsidR="00CB417D" w:rsidRDefault="00000000">
      <w:pPr>
        <w:spacing w:before="315" w:after="105" w:line="360" w:lineRule="auto"/>
        <w:ind w:left="-30"/>
      </w:pPr>
      <w:bookmarkStart w:id="3" w:name="ipamorelin_explained_a_gentle_loo_73939b"/>
      <w:r>
        <w:rPr>
          <w:rFonts w:eastAsia="Georgia" w:hAnsi="Georgia" w:cs="Georgia"/>
          <w:b/>
          <w:color w:val="000000"/>
          <w:sz w:val="24"/>
        </w:rPr>
        <w:t>Ipamorelin Explained: A Gentle Look at a Selective Growth Hormone Peptide</w:t>
      </w:r>
      <w:bookmarkEnd w:id="3"/>
    </w:p>
    <w:p w14:paraId="141B1424" w14:textId="77777777" w:rsidR="00CB417D" w:rsidRDefault="00000000">
      <w:pPr>
        <w:spacing w:after="210" w:line="360" w:lineRule="auto"/>
      </w:pPr>
      <w:r>
        <w:rPr>
          <w:rFonts w:eastAsia="Georgia" w:hAnsi="Georgia" w:cs="Georgia"/>
          <w:color w:val="000000"/>
        </w:rPr>
        <w:lastRenderedPageBreak/>
        <w:t>Ipamorelin has become a very popular peptide in recent years. Many people hear about it in the context of recovery, sleep, or body composition, but the basic science behind it is often not explained clearly. This article walks through what Ipamorelin is, how it behaves in research, and why it is considered “selective” compared to older peptides.</w:t>
      </w:r>
      <w:bookmarkStart w:id="4" w:name="fnref1_1"/>
      <w:bookmarkEnd w:id="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 w:name="fnref2_1"/>
      <w:bookmarkEnd w:id="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6DE068D7" w14:textId="77777777" w:rsidR="00CB417D" w:rsidRDefault="009F3DDD">
      <w:pPr>
        <w:spacing w:before="210" w:after="0" w:line="360" w:lineRule="auto"/>
      </w:pPr>
      <w:r>
        <w:rPr>
          <w:noProof/>
        </w:rPr>
      </w:r>
      <w:r>
        <w:rPr>
          <w:noProof/>
        </w:rPr>
        <w:pict w14:anchorId="2F75FD9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522F00C" w14:textId="77777777" w:rsidR="00CB417D" w:rsidRDefault="00000000">
      <w:pPr>
        <w:spacing w:before="315" w:after="105" w:line="360" w:lineRule="auto"/>
        <w:ind w:left="-30"/>
      </w:pPr>
      <w:bookmarkStart w:id="6" w:name="what_is_ipamorelin"/>
      <w:r>
        <w:rPr>
          <w:rFonts w:eastAsia="Georgia" w:hAnsi="Georgia" w:cs="Georgia"/>
          <w:b/>
          <w:color w:val="000000"/>
          <w:sz w:val="24"/>
        </w:rPr>
        <w:t>What Is Ipamorelin?</w:t>
      </w:r>
      <w:bookmarkEnd w:id="6"/>
    </w:p>
    <w:p w14:paraId="385FE496" w14:textId="77777777" w:rsidR="00CB417D" w:rsidRDefault="00000000">
      <w:pPr>
        <w:spacing w:after="210" w:line="360" w:lineRule="auto"/>
      </w:pPr>
      <w:r>
        <w:rPr>
          <w:rFonts w:eastAsia="Georgia" w:hAnsi="Georgia" w:cs="Georgia"/>
          <w:color w:val="000000"/>
        </w:rPr>
        <w:t xml:space="preserve">Ipamorelin is a small synthetic peptide made of five amino acids (a pentapeptide). In research, it is grouped with </w:t>
      </w:r>
      <w:r>
        <w:rPr>
          <w:rFonts w:eastAsia="Georgia" w:hAnsi="Georgia" w:cs="Georgia"/>
          <w:b/>
          <w:color w:val="000000"/>
        </w:rPr>
        <w:t>growth hormone secretagogues</w:t>
      </w:r>
      <w:r>
        <w:rPr>
          <w:rFonts w:eastAsia="Georgia" w:hAnsi="Georgia" w:cs="Georgia"/>
          <w:color w:val="000000"/>
        </w:rPr>
        <w:t>—compounds that stimulate the release of growth hormone (GH) from the pituitary gland rather than supplying GH directly from outside the body.</w:t>
      </w:r>
      <w:bookmarkStart w:id="7" w:name="fnref1_2"/>
      <w:bookmarkEnd w:id="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8" w:name="fnref2_2"/>
      <w:bookmarkEnd w:id="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9" w:name="fnref3_1"/>
      <w:bookmarkEnd w:id="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1D11B5E" w14:textId="77777777" w:rsidR="00CB417D" w:rsidRDefault="00000000">
      <w:pPr>
        <w:spacing w:after="210" w:line="360" w:lineRule="auto"/>
      </w:pPr>
      <w:r>
        <w:rPr>
          <w:rFonts w:eastAsia="Georgia" w:hAnsi="Georgia" w:cs="Georgia"/>
          <w:color w:val="000000"/>
        </w:rPr>
        <w:t>A few key points:</w:t>
      </w:r>
    </w:p>
    <w:p w14:paraId="5E13CCEC" w14:textId="77777777" w:rsidR="00CB417D" w:rsidRDefault="00000000">
      <w:pPr>
        <w:numPr>
          <w:ilvl w:val="0"/>
          <w:numId w:val="1"/>
        </w:numPr>
        <w:spacing w:before="105" w:after="105" w:line="360" w:lineRule="auto"/>
      </w:pPr>
      <w:r>
        <w:rPr>
          <w:rFonts w:eastAsia="Georgia" w:hAnsi="Georgia" w:cs="Georgia"/>
          <w:color w:val="000000"/>
        </w:rPr>
        <w:t>It was developed in the 1990s as part of a large programme looking for new growth hormone–releasing molecules.</w:t>
      </w:r>
      <w:bookmarkStart w:id="10" w:name="fnref4"/>
      <w:bookmarkEnd w:id="1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1" w:name="fnref1_3"/>
      <w:bookmarkEnd w:id="1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38A96987" w14:textId="77777777" w:rsidR="00CB417D" w:rsidRDefault="00000000">
      <w:pPr>
        <w:numPr>
          <w:ilvl w:val="0"/>
          <w:numId w:val="1"/>
        </w:numPr>
        <w:spacing w:before="105" w:after="105" w:line="360" w:lineRule="auto"/>
      </w:pPr>
      <w:r>
        <w:rPr>
          <w:rFonts w:eastAsia="Georgia" w:hAnsi="Georgia" w:cs="Georgia"/>
          <w:color w:val="000000"/>
        </w:rPr>
        <w:t xml:space="preserve">It binds to the </w:t>
      </w:r>
      <w:r>
        <w:rPr>
          <w:rFonts w:eastAsia="Georgia" w:hAnsi="Georgia" w:cs="Georgia"/>
          <w:b/>
          <w:color w:val="000000"/>
        </w:rPr>
        <w:t>ghrelin receptor</w:t>
      </w:r>
      <w:r>
        <w:rPr>
          <w:rFonts w:eastAsia="Georgia" w:hAnsi="Georgia" w:cs="Georgia"/>
          <w:color w:val="000000"/>
        </w:rPr>
        <w:t xml:space="preserve"> (also called GHS‑R1a), the same receptor that responds to the natural “hunger hormone” ghrelin.</w:t>
      </w:r>
      <w:bookmarkStart w:id="12" w:name="fnref2_3"/>
      <w:bookmarkEnd w:id="1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3" w:name="fnref3_2"/>
      <w:bookmarkEnd w:id="1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6423A2E" w14:textId="77777777" w:rsidR="00CB417D" w:rsidRDefault="00000000">
      <w:pPr>
        <w:numPr>
          <w:ilvl w:val="0"/>
          <w:numId w:val="1"/>
        </w:numPr>
        <w:spacing w:before="105" w:after="105" w:line="360" w:lineRule="auto"/>
      </w:pPr>
      <w:r>
        <w:rPr>
          <w:rFonts w:eastAsia="Georgia" w:hAnsi="Georgia" w:cs="Georgia"/>
          <w:color w:val="000000"/>
        </w:rPr>
        <w:t>Early laboratory and animal work showed that Ipamorelin can trigger strong GH release while having little effect on other pituitary hormones like ACTH and cortisol, even at relatively high doses.</w:t>
      </w:r>
      <w:bookmarkStart w:id="14" w:name="fnref5"/>
      <w:bookmarkEnd w:id="14"/>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5" w:name="fnref1_4"/>
      <w:bookmarkEnd w:id="1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6" w:name="fnref4_1"/>
      <w:bookmarkEnd w:id="1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5BEE442" w14:textId="77777777" w:rsidR="00CB417D" w:rsidRDefault="00000000">
      <w:pPr>
        <w:spacing w:after="210" w:line="360" w:lineRule="auto"/>
      </w:pPr>
      <w:r>
        <w:rPr>
          <w:rFonts w:eastAsia="Georgia" w:hAnsi="Georgia" w:cs="Georgia"/>
          <w:color w:val="000000"/>
        </w:rPr>
        <w:t xml:space="preserve">Because of this profile, researchers often describe Ipamorelin as a </w:t>
      </w:r>
      <w:r>
        <w:rPr>
          <w:rFonts w:eastAsia="Georgia" w:hAnsi="Georgia" w:cs="Georgia"/>
          <w:b/>
          <w:color w:val="000000"/>
        </w:rPr>
        <w:t>selective</w:t>
      </w:r>
      <w:r>
        <w:rPr>
          <w:rFonts w:eastAsia="Georgia" w:hAnsi="Georgia" w:cs="Georgia"/>
          <w:color w:val="000000"/>
        </w:rPr>
        <w:t xml:space="preserve"> GH secretagogue—it behaves in a more “targeted” way than older growth hormone–releasing peptides such as GHRP‑2 or GHRP‑6, which tend to raise several hormones at once.</w:t>
      </w:r>
      <w:bookmarkStart w:id="17" w:name="fnref6"/>
      <w:bookmarkEnd w:id="1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8" w:name="fnref4_2"/>
      <w:bookmarkEnd w:id="1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474780E2" w14:textId="77777777" w:rsidR="00CB417D" w:rsidRDefault="009F3DDD">
      <w:pPr>
        <w:spacing w:before="210" w:after="0" w:line="360" w:lineRule="auto"/>
      </w:pPr>
      <w:r>
        <w:rPr>
          <w:noProof/>
        </w:rPr>
      </w:r>
      <w:r>
        <w:rPr>
          <w:noProof/>
        </w:rPr>
        <w:pict w14:anchorId="442F70CB">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282DD4" w14:textId="77777777" w:rsidR="00CB417D" w:rsidRDefault="00000000">
      <w:pPr>
        <w:spacing w:before="315" w:after="105" w:line="360" w:lineRule="auto"/>
        <w:ind w:left="-30"/>
      </w:pPr>
      <w:bookmarkStart w:id="19" w:name="how_does_ipamorelin_work_in_research"/>
      <w:r>
        <w:rPr>
          <w:rFonts w:eastAsia="Georgia" w:hAnsi="Georgia" w:cs="Georgia"/>
          <w:b/>
          <w:color w:val="000000"/>
          <w:sz w:val="24"/>
        </w:rPr>
        <w:t>How Does Ipamorelin Work in Research?</w:t>
      </w:r>
      <w:bookmarkEnd w:id="19"/>
    </w:p>
    <w:p w14:paraId="2972DBAF" w14:textId="77777777" w:rsidR="00CB417D" w:rsidRDefault="00000000">
      <w:pPr>
        <w:spacing w:after="210" w:line="360" w:lineRule="auto"/>
      </w:pPr>
      <w:r>
        <w:rPr>
          <w:rFonts w:eastAsia="Georgia" w:hAnsi="Georgia" w:cs="Georgia"/>
          <w:color w:val="000000"/>
        </w:rPr>
        <w:t>Under normal conditions, growth hormone release is controlled by a balance of three main signals:</w:t>
      </w:r>
    </w:p>
    <w:p w14:paraId="36628EDC" w14:textId="77777777" w:rsidR="00CB417D" w:rsidRDefault="00000000">
      <w:pPr>
        <w:numPr>
          <w:ilvl w:val="0"/>
          <w:numId w:val="2"/>
        </w:numPr>
        <w:spacing w:before="105" w:after="105" w:line="360" w:lineRule="auto"/>
      </w:pPr>
      <w:r>
        <w:rPr>
          <w:rFonts w:eastAsia="Georgia" w:hAnsi="Georgia" w:cs="Georgia"/>
          <w:color w:val="000000"/>
        </w:rPr>
        <w:t>Growth hormone–releasing hormone (GHRH), which stimulates GH output</w:t>
      </w:r>
    </w:p>
    <w:p w14:paraId="7E0F4FEE" w14:textId="77777777" w:rsidR="00CB417D" w:rsidRDefault="00000000">
      <w:pPr>
        <w:numPr>
          <w:ilvl w:val="0"/>
          <w:numId w:val="2"/>
        </w:numPr>
        <w:spacing w:before="105" w:after="105" w:line="360" w:lineRule="auto"/>
      </w:pPr>
      <w:r>
        <w:rPr>
          <w:rFonts w:eastAsia="Georgia" w:hAnsi="Georgia" w:cs="Georgia"/>
          <w:color w:val="000000"/>
        </w:rPr>
        <w:t>Somatostatin, which suppresses GH release</w:t>
      </w:r>
    </w:p>
    <w:p w14:paraId="2C7A5EA4" w14:textId="77777777" w:rsidR="00CB417D" w:rsidRDefault="00000000">
      <w:pPr>
        <w:numPr>
          <w:ilvl w:val="0"/>
          <w:numId w:val="2"/>
        </w:numPr>
        <w:spacing w:before="105" w:after="105" w:line="360" w:lineRule="auto"/>
      </w:pPr>
      <w:r>
        <w:rPr>
          <w:rFonts w:eastAsia="Georgia" w:hAnsi="Georgia" w:cs="Georgia"/>
          <w:color w:val="000000"/>
        </w:rPr>
        <w:t>Ghrelin, which amplifies GH pulses and links energy status to the GH axis</w:t>
      </w:r>
      <w:bookmarkStart w:id="20" w:name="fnref3_3"/>
      <w:bookmarkEnd w:id="2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D8D72BF" w14:textId="77777777" w:rsidR="00CB417D" w:rsidRDefault="00000000">
      <w:pPr>
        <w:spacing w:after="210" w:line="360" w:lineRule="auto"/>
      </w:pPr>
      <w:r>
        <w:rPr>
          <w:rFonts w:eastAsia="Georgia" w:hAnsi="Georgia" w:cs="Georgia"/>
          <w:color w:val="000000"/>
        </w:rPr>
        <w:t xml:space="preserve">Ipamorelin behaves like a </w:t>
      </w:r>
      <w:r>
        <w:rPr>
          <w:rFonts w:eastAsia="Georgia" w:hAnsi="Georgia" w:cs="Georgia"/>
          <w:b/>
          <w:color w:val="000000"/>
        </w:rPr>
        <w:t>ghrelin mimetic</w:t>
      </w:r>
      <w:r>
        <w:rPr>
          <w:rFonts w:eastAsia="Georgia" w:hAnsi="Georgia" w:cs="Georgia"/>
          <w:color w:val="000000"/>
        </w:rPr>
        <w:t xml:space="preserve"> in experimental systems. When it binds to GHS‑R1a receptors on pituitary cells, it activates intracellular signalling cascades that raise calcium inside the </w:t>
      </w:r>
      <w:r>
        <w:rPr>
          <w:rFonts w:eastAsia="Georgia" w:hAnsi="Georgia" w:cs="Georgia"/>
          <w:color w:val="000000"/>
        </w:rPr>
        <w:lastRenderedPageBreak/>
        <w:t>cells and trigger GH secretion. Studies in primary rat pituitary cells found that Ipamorelin’s potency and maximum effect on GH release are similar to GHRP‑6, a classic reference peptide in this class.</w:t>
      </w:r>
      <w:bookmarkStart w:id="21" w:name="fnref1_5"/>
      <w:bookmarkEnd w:id="2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2" w:name="fnref4_3"/>
      <w:bookmarkEnd w:id="2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3" w:name="fnref2_4"/>
      <w:bookmarkEnd w:id="2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6677F9ED" w14:textId="77777777" w:rsidR="00CB417D" w:rsidRDefault="00000000">
      <w:pPr>
        <w:spacing w:after="210" w:line="360" w:lineRule="auto"/>
      </w:pPr>
      <w:r>
        <w:rPr>
          <w:rFonts w:eastAsia="Georgia" w:hAnsi="Georgia" w:cs="Georgia"/>
          <w:color w:val="000000"/>
        </w:rPr>
        <w:t>In live animal models, several consistent patterns show up:</w:t>
      </w:r>
    </w:p>
    <w:p w14:paraId="23BBF2B5" w14:textId="77777777" w:rsidR="00CB417D" w:rsidRDefault="00000000">
      <w:pPr>
        <w:numPr>
          <w:ilvl w:val="0"/>
          <w:numId w:val="3"/>
        </w:numPr>
        <w:spacing w:before="105" w:after="105" w:line="360" w:lineRule="auto"/>
      </w:pPr>
      <w:r>
        <w:rPr>
          <w:rFonts w:eastAsia="Georgia" w:hAnsi="Georgia" w:cs="Georgia"/>
          <w:color w:val="000000"/>
        </w:rPr>
        <w:t xml:space="preserve">In anaesthetised rats and in conscious swine, Ipamorelin produces </w:t>
      </w:r>
      <w:r>
        <w:rPr>
          <w:rFonts w:eastAsia="Georgia" w:hAnsi="Georgia" w:cs="Georgia"/>
          <w:b/>
          <w:color w:val="000000"/>
        </w:rPr>
        <w:t>dose‑dependent</w:t>
      </w:r>
      <w:r>
        <w:rPr>
          <w:rFonts w:eastAsia="Georgia" w:hAnsi="Georgia" w:cs="Georgia"/>
          <w:color w:val="000000"/>
        </w:rPr>
        <w:t xml:space="preserve"> GH release with ED50 values in the low nanomole per kilogram range.</w:t>
      </w:r>
      <w:bookmarkStart w:id="24" w:name="fnref1_6"/>
      <w:bookmarkEnd w:id="2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5" w:name="fnref6_1"/>
      <w:bookmarkEnd w:id="25"/>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7C5ADC06" w14:textId="77777777" w:rsidR="00CB417D" w:rsidRDefault="00000000">
      <w:pPr>
        <w:numPr>
          <w:ilvl w:val="0"/>
          <w:numId w:val="3"/>
        </w:numPr>
        <w:spacing w:before="105" w:after="105" w:line="360" w:lineRule="auto"/>
      </w:pPr>
      <w:r>
        <w:rPr>
          <w:rFonts w:eastAsia="Georgia" w:hAnsi="Georgia" w:cs="Georgia"/>
          <w:color w:val="000000"/>
        </w:rPr>
        <w:t>Even at doses hundreds of times higher than the level needed for GH release, ipamorelin produces only minor changes in ACTH or cortisol compared with older GHRPs.</w:t>
      </w:r>
      <w:bookmarkStart w:id="26" w:name="fnref4_4"/>
      <w:bookmarkEnd w:id="2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7" w:name="fnref5_1"/>
      <w:bookmarkEnd w:id="27"/>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44B7BCF4" w14:textId="77777777" w:rsidR="00CB417D" w:rsidRDefault="00000000">
      <w:pPr>
        <w:spacing w:after="210" w:line="360" w:lineRule="auto"/>
      </w:pPr>
      <w:r>
        <w:rPr>
          <w:rFonts w:eastAsia="Georgia" w:hAnsi="Georgia" w:cs="Georgia"/>
          <w:color w:val="000000"/>
        </w:rPr>
        <w:t>This combination—strong GH response plus relatively quiet stress‑hormone response—is what made Ipamorelin stand out in the original pharmacology papers and later scientific reviews.</w:t>
      </w:r>
      <w:bookmarkStart w:id="28" w:name="fnref6_2"/>
      <w:bookmarkEnd w:id="2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29" w:name="fnref3_4"/>
      <w:bookmarkEnd w:id="2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30" w:name="fnref1_7"/>
      <w:bookmarkEnd w:id="3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57D8B056" w14:textId="77777777" w:rsidR="00CB417D" w:rsidRDefault="009F3DDD">
      <w:pPr>
        <w:spacing w:before="210" w:after="0" w:line="360" w:lineRule="auto"/>
      </w:pPr>
      <w:r>
        <w:rPr>
          <w:noProof/>
        </w:rPr>
      </w:r>
      <w:r>
        <w:rPr>
          <w:noProof/>
        </w:rPr>
        <w:pict w14:anchorId="6B1A27E6">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F1A8F6" w14:textId="77777777" w:rsidR="00CB417D" w:rsidRDefault="00000000">
      <w:pPr>
        <w:spacing w:before="315" w:after="105" w:line="360" w:lineRule="auto"/>
        <w:ind w:left="-30"/>
      </w:pPr>
      <w:bookmarkStart w:id="31" w:name="what_have_studies_looked_at"/>
      <w:r>
        <w:rPr>
          <w:rFonts w:eastAsia="Georgia" w:hAnsi="Georgia" w:cs="Georgia"/>
          <w:b/>
          <w:color w:val="000000"/>
          <w:sz w:val="24"/>
        </w:rPr>
        <w:t>What Have Studies Looked At?</w:t>
      </w:r>
      <w:bookmarkEnd w:id="31"/>
    </w:p>
    <w:p w14:paraId="07EBB76B" w14:textId="77777777" w:rsidR="00CB417D" w:rsidRDefault="00000000">
      <w:pPr>
        <w:spacing w:after="210" w:line="360" w:lineRule="auto"/>
      </w:pPr>
      <w:r>
        <w:rPr>
          <w:rFonts w:eastAsia="Georgia" w:hAnsi="Georgia" w:cs="Georgia"/>
          <w:color w:val="000000"/>
        </w:rPr>
        <w:t>Ipamorelin has been used in a variety of preclinical and early clinical research settings.</w:t>
      </w:r>
    </w:p>
    <w:p w14:paraId="78E8335F" w14:textId="77777777" w:rsidR="00CB417D" w:rsidRDefault="00000000">
      <w:pPr>
        <w:spacing w:after="210" w:line="360" w:lineRule="auto"/>
      </w:pPr>
      <w:r>
        <w:rPr>
          <w:rFonts w:eastAsia="Georgia" w:hAnsi="Georgia" w:cs="Georgia"/>
          <w:color w:val="000000"/>
        </w:rPr>
        <w:t>Examples include:</w:t>
      </w:r>
    </w:p>
    <w:p w14:paraId="7F07C9DB" w14:textId="77777777" w:rsidR="00CB417D" w:rsidRDefault="00000000">
      <w:pPr>
        <w:numPr>
          <w:ilvl w:val="0"/>
          <w:numId w:val="4"/>
        </w:numPr>
        <w:spacing w:before="105" w:after="105" w:line="360" w:lineRule="auto"/>
      </w:pPr>
      <w:r>
        <w:rPr>
          <w:rFonts w:eastAsia="Georgia" w:hAnsi="Georgia" w:cs="Georgia"/>
          <w:b/>
          <w:color w:val="000000"/>
        </w:rPr>
        <w:t>Basic endocrinology models:</w:t>
      </w:r>
      <w:r>
        <w:rPr>
          <w:rFonts w:eastAsia="Georgia" w:hAnsi="Georgia" w:cs="Georgia"/>
          <w:color w:val="000000"/>
        </w:rPr>
        <w:t xml:space="preserve"> mapping GH pulses, ghrelin receptor function, and downstream IGF‑1 signalling in animals and cell systems.</w:t>
      </w:r>
      <w:bookmarkStart w:id="32" w:name="fnref1_8"/>
      <w:bookmarkEnd w:id="3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3" w:name="fnref2_5"/>
      <w:bookmarkEnd w:id="3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68D7CA9F" w14:textId="77777777" w:rsidR="00CB417D" w:rsidRDefault="00000000">
      <w:pPr>
        <w:numPr>
          <w:ilvl w:val="0"/>
          <w:numId w:val="4"/>
        </w:numPr>
        <w:spacing w:before="105" w:after="105" w:line="360" w:lineRule="auto"/>
      </w:pPr>
      <w:r>
        <w:rPr>
          <w:rFonts w:eastAsia="Georgia" w:hAnsi="Georgia" w:cs="Georgia"/>
          <w:b/>
          <w:color w:val="000000"/>
        </w:rPr>
        <w:t>Bone and metabolism work:</w:t>
      </w:r>
      <w:r>
        <w:rPr>
          <w:rFonts w:eastAsia="Georgia" w:hAnsi="Georgia" w:cs="Georgia"/>
          <w:color w:val="000000"/>
        </w:rPr>
        <w:t xml:space="preserve"> animal studies exploring whether GH stimulation by Ipamorelin can help counteract steroid‑related bone loss or support bone formation in specific models.</w:t>
      </w:r>
      <w:bookmarkStart w:id="34" w:name="fnref7"/>
      <w:bookmarkEnd w:id="34"/>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35" w:name="fnref8"/>
      <w:bookmarkEnd w:id="35"/>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p>
    <w:p w14:paraId="39851D8A" w14:textId="77777777" w:rsidR="00CB417D" w:rsidRDefault="00000000">
      <w:pPr>
        <w:numPr>
          <w:ilvl w:val="0"/>
          <w:numId w:val="4"/>
        </w:numPr>
        <w:spacing w:before="105" w:after="105" w:line="360" w:lineRule="auto"/>
      </w:pPr>
      <w:r>
        <w:rPr>
          <w:rFonts w:eastAsia="Georgia" w:hAnsi="Georgia" w:cs="Georgia"/>
          <w:b/>
          <w:color w:val="000000"/>
        </w:rPr>
        <w:t>Digestive motility:</w:t>
      </w:r>
      <w:r>
        <w:rPr>
          <w:rFonts w:eastAsia="Georgia" w:hAnsi="Georgia" w:cs="Georgia"/>
          <w:color w:val="000000"/>
        </w:rPr>
        <w:t xml:space="preserve"> trials and animal experiments on gastric emptying and post‑operative ileus, where Ipamorelin was tested as a ghrelin‑receptor agonist to influence gut motility.</w:t>
      </w:r>
      <w:bookmarkStart w:id="36" w:name="fnref9"/>
      <w:bookmarkEnd w:id="36"/>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bookmarkStart w:id="37" w:name="fnref3_5"/>
      <w:bookmarkEnd w:id="3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2CB0090" w14:textId="77777777" w:rsidR="00CB417D" w:rsidRDefault="00000000">
      <w:pPr>
        <w:spacing w:after="210" w:line="360" w:lineRule="auto"/>
      </w:pPr>
      <w:r>
        <w:rPr>
          <w:rFonts w:eastAsia="Georgia" w:hAnsi="Georgia" w:cs="Georgia"/>
          <w:color w:val="000000"/>
        </w:rPr>
        <w:t>Some clinical development programmes reached Phase II, but several were discontinued when they did not show enough benefit on their main clinical endpoints, even though biological signals such as GH release were clearly measurable.</w:t>
      </w:r>
      <w:bookmarkStart w:id="38" w:name="fnref10"/>
      <w:bookmarkEnd w:id="38"/>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39" w:name="fnref3_6"/>
      <w:bookmarkEnd w:id="3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0E16E75" w14:textId="77777777" w:rsidR="00CB417D" w:rsidRDefault="00000000">
      <w:pPr>
        <w:spacing w:after="210" w:line="360" w:lineRule="auto"/>
      </w:pPr>
      <w:r>
        <w:rPr>
          <w:rFonts w:eastAsia="Georgia" w:hAnsi="Georgia" w:cs="Georgia"/>
          <w:color w:val="000000"/>
        </w:rPr>
        <w:t xml:space="preserve">At present, major regulators such as the FDA do </w:t>
      </w:r>
      <w:r>
        <w:rPr>
          <w:rFonts w:eastAsia="Georgia" w:hAnsi="Georgia" w:cs="Georgia"/>
          <w:b/>
          <w:color w:val="000000"/>
        </w:rPr>
        <w:t>not</w:t>
      </w:r>
      <w:r>
        <w:rPr>
          <w:rFonts w:eastAsia="Georgia" w:hAnsi="Georgia" w:cs="Georgia"/>
          <w:color w:val="000000"/>
        </w:rPr>
        <w:t xml:space="preserve"> list Ipamorelin as an approved active ingredient in any finished, on‑label medicine. It continues to be discussed mainly in the context of research, compounding, and off‑label interest.</w:t>
      </w:r>
      <w:bookmarkStart w:id="40" w:name="fnref11"/>
      <w:bookmarkEnd w:id="40"/>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63571F52" w14:textId="77777777" w:rsidR="00CB417D" w:rsidRDefault="009F3DDD">
      <w:pPr>
        <w:spacing w:before="210" w:after="0" w:line="360" w:lineRule="auto"/>
      </w:pPr>
      <w:r>
        <w:rPr>
          <w:noProof/>
        </w:rPr>
      </w:r>
      <w:r>
        <w:rPr>
          <w:noProof/>
        </w:rPr>
        <w:pict w14:anchorId="4AAC081D">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597C10" w14:textId="77777777" w:rsidR="00CB417D" w:rsidRDefault="00000000">
      <w:pPr>
        <w:spacing w:before="315" w:after="105" w:line="360" w:lineRule="auto"/>
        <w:ind w:left="-30"/>
      </w:pPr>
      <w:bookmarkStart w:id="41" w:name="how_is_ipamorelin_different_from_fa498f"/>
      <w:r>
        <w:rPr>
          <w:rFonts w:eastAsia="Georgia" w:hAnsi="Georgia" w:cs="Georgia"/>
          <w:b/>
          <w:color w:val="000000"/>
          <w:sz w:val="24"/>
        </w:rPr>
        <w:lastRenderedPageBreak/>
        <w:t>How Is Ipamorelin Different from Other GH Secretagogues?</w:t>
      </w:r>
      <w:bookmarkEnd w:id="41"/>
    </w:p>
    <w:p w14:paraId="23F926A4" w14:textId="77777777" w:rsidR="00CB417D" w:rsidRDefault="00000000">
      <w:pPr>
        <w:spacing w:after="210" w:line="360" w:lineRule="auto"/>
      </w:pPr>
      <w:r>
        <w:rPr>
          <w:rFonts w:eastAsia="Georgia" w:hAnsi="Georgia" w:cs="Georgia"/>
          <w:color w:val="000000"/>
        </w:rPr>
        <w:t>Within the wider family of growth hormone–related peptides, Ipamorelin is often compared to a few familiar names:</w:t>
      </w:r>
    </w:p>
    <w:p w14:paraId="284C173B" w14:textId="77777777" w:rsidR="00CB417D" w:rsidRDefault="00000000">
      <w:pPr>
        <w:numPr>
          <w:ilvl w:val="0"/>
          <w:numId w:val="5"/>
        </w:numPr>
        <w:spacing w:before="105" w:after="105" w:line="360" w:lineRule="auto"/>
      </w:pPr>
      <w:r>
        <w:rPr>
          <w:rFonts w:eastAsia="Georgia" w:hAnsi="Georgia" w:cs="Georgia"/>
          <w:b/>
          <w:color w:val="000000"/>
        </w:rPr>
        <w:t>Sermorelin and other GHRH analogues</w:t>
      </w:r>
      <w:r>
        <w:rPr>
          <w:rFonts w:eastAsia="Georgia" w:hAnsi="Georgia" w:cs="Georgia"/>
          <w:color w:val="000000"/>
        </w:rPr>
        <w:t xml:space="preserve"> act on the GHRH receptor, while Ipamorelin acts on the ghrelin receptor. In experimental designs, some groups combine a GHRH analogue with a GHS like Ipamorelin to study combined effects on GH pulses.</w:t>
      </w:r>
      <w:bookmarkStart w:id="42" w:name="fnref3_7"/>
      <w:bookmarkEnd w:id="4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3" w:name="fnref5_2"/>
      <w:bookmarkEnd w:id="43"/>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0A23E803" w14:textId="77777777" w:rsidR="00CB417D" w:rsidRDefault="00000000">
      <w:pPr>
        <w:numPr>
          <w:ilvl w:val="0"/>
          <w:numId w:val="5"/>
        </w:numPr>
        <w:spacing w:before="105" w:after="105" w:line="360" w:lineRule="auto"/>
      </w:pPr>
      <w:r>
        <w:rPr>
          <w:rFonts w:eastAsia="Georgia" w:hAnsi="Georgia" w:cs="Georgia"/>
          <w:b/>
          <w:color w:val="000000"/>
        </w:rPr>
        <w:t>Tesamorelin</w:t>
      </w:r>
      <w:r>
        <w:rPr>
          <w:rFonts w:eastAsia="Georgia" w:hAnsi="Georgia" w:cs="Georgia"/>
          <w:color w:val="000000"/>
        </w:rPr>
        <w:t xml:space="preserve"> is a GHRH analogue with full FDA approval for a specific indication (HIV‑related visceral fat). Ipamorelin does not have equivalent approval and stays in the research/compounding space.</w:t>
      </w:r>
      <w:bookmarkStart w:id="44" w:name="fnref3_8"/>
      <w:bookmarkEnd w:id="4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E8869B3" w14:textId="77777777" w:rsidR="00CB417D" w:rsidRDefault="00000000">
      <w:pPr>
        <w:numPr>
          <w:ilvl w:val="0"/>
          <w:numId w:val="5"/>
        </w:numPr>
        <w:spacing w:before="105" w:after="105" w:line="360" w:lineRule="auto"/>
      </w:pPr>
      <w:r>
        <w:rPr>
          <w:rFonts w:eastAsia="Georgia" w:hAnsi="Georgia" w:cs="Georgia"/>
          <w:b/>
          <w:color w:val="000000"/>
        </w:rPr>
        <w:t>Older GHRPs</w:t>
      </w:r>
      <w:r>
        <w:rPr>
          <w:rFonts w:eastAsia="Georgia" w:hAnsi="Georgia" w:cs="Georgia"/>
          <w:color w:val="000000"/>
        </w:rPr>
        <w:t xml:space="preserve"> such as GHRP‑2 and GHRP‑6 are effective GH secretagogues but tend to raise cortisol and prolactin much more, and GHRP‑6 is well known for strong appetite stimulation. In contrast, Ipamorelin’s design intentionally aimed for a “cleaner” GH profile with far less effect on these other hormones in standard models.</w:t>
      </w:r>
      <w:bookmarkStart w:id="45" w:name="fnref1_9"/>
      <w:bookmarkEnd w:id="4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46" w:name="fnref4_5"/>
      <w:bookmarkEnd w:id="4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47" w:name="fnref6_3"/>
      <w:bookmarkEnd w:id="47"/>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48" w:name="fnref5_3"/>
      <w:bookmarkEnd w:id="4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49" w:name="fnref3_9"/>
      <w:bookmarkEnd w:id="4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24BAAC0" w14:textId="77777777" w:rsidR="00CB417D" w:rsidRDefault="00000000">
      <w:pPr>
        <w:spacing w:after="210" w:line="360" w:lineRule="auto"/>
      </w:pPr>
      <w:r>
        <w:rPr>
          <w:rFonts w:eastAsia="Georgia" w:hAnsi="Georgia" w:cs="Georgia"/>
          <w:color w:val="000000"/>
        </w:rPr>
        <w:t xml:space="preserve">Because of this, Ipamorelin is often chosen as a </w:t>
      </w:r>
      <w:r>
        <w:rPr>
          <w:rFonts w:eastAsia="Georgia" w:hAnsi="Georgia" w:cs="Georgia"/>
          <w:b/>
          <w:color w:val="000000"/>
        </w:rPr>
        <w:t>model compound</w:t>
      </w:r>
      <w:r>
        <w:rPr>
          <w:rFonts w:eastAsia="Georgia" w:hAnsi="Georgia" w:cs="Georgia"/>
          <w:color w:val="000000"/>
        </w:rPr>
        <w:t xml:space="preserve"> when researchers want to study ghrelin‑receptor‑mediated GH release without large confounding changes in other parts of the endocrine system.</w:t>
      </w:r>
      <w:bookmarkStart w:id="50" w:name="fnref10_1"/>
      <w:bookmarkEnd w:id="50"/>
      <w:r>
        <w:fldChar w:fldCharType="begin"/>
      </w:r>
      <w:r>
        <w:instrText>HYPERLINK \l "fn10" \h</w:instrText>
      </w:r>
      <w:r>
        <w:fldChar w:fldCharType="separate"/>
      </w:r>
      <w:r>
        <w:rPr>
          <w:rFonts w:ascii="Helvetica Neue" w:eastAsia="Helvetica Neue" w:hAnsi="Helvetica Neue" w:cs="Helvetica Neue"/>
          <w:u w:val="single"/>
          <w:vertAlign w:val="superscript"/>
        </w:rPr>
        <w:t>[10]</w:t>
      </w:r>
      <w:r>
        <w:fldChar w:fldCharType="end"/>
      </w:r>
      <w:bookmarkStart w:id="51" w:name="fnref2_6"/>
      <w:bookmarkEnd w:id="5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BE286D4" w14:textId="77777777" w:rsidR="00CB417D" w:rsidRDefault="009F3DDD">
      <w:pPr>
        <w:spacing w:before="210" w:after="0" w:line="360" w:lineRule="auto"/>
      </w:pPr>
      <w:r>
        <w:rPr>
          <w:noProof/>
        </w:rPr>
      </w:r>
      <w:r>
        <w:rPr>
          <w:noProof/>
        </w:rPr>
        <w:pict w14:anchorId="38BA3690">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5B4F41" w14:textId="77777777" w:rsidR="00CB417D" w:rsidRDefault="00000000">
      <w:pPr>
        <w:spacing w:before="315" w:after="105" w:line="360" w:lineRule="auto"/>
        <w:ind w:left="-30"/>
      </w:pPr>
      <w:bookmarkStart w:id="52" w:name="regulation_quality_and_caution"/>
      <w:r>
        <w:rPr>
          <w:rFonts w:eastAsia="Georgia" w:hAnsi="Georgia" w:cs="Georgia"/>
          <w:b/>
          <w:color w:val="000000"/>
          <w:sz w:val="24"/>
        </w:rPr>
        <w:t>Regulation, Quality, and Caution</w:t>
      </w:r>
      <w:bookmarkEnd w:id="52"/>
    </w:p>
    <w:p w14:paraId="75FC3B17" w14:textId="77777777" w:rsidR="00CB417D" w:rsidRDefault="00000000">
      <w:pPr>
        <w:spacing w:after="210" w:line="360" w:lineRule="auto"/>
      </w:pPr>
      <w:r>
        <w:rPr>
          <w:rFonts w:eastAsia="Georgia" w:hAnsi="Georgia" w:cs="Georgia"/>
          <w:color w:val="000000"/>
        </w:rPr>
        <w:t>Even though the science around Ipamorelin is active and interesting, its regulatory status is important:</w:t>
      </w:r>
    </w:p>
    <w:p w14:paraId="6873D052" w14:textId="77777777" w:rsidR="00CB417D" w:rsidRDefault="00000000">
      <w:pPr>
        <w:numPr>
          <w:ilvl w:val="0"/>
          <w:numId w:val="6"/>
        </w:numPr>
        <w:spacing w:before="105" w:after="105" w:line="360" w:lineRule="auto"/>
      </w:pPr>
      <w:r>
        <w:rPr>
          <w:rFonts w:eastAsia="Georgia" w:hAnsi="Georgia" w:cs="Georgia"/>
          <w:color w:val="000000"/>
        </w:rPr>
        <w:t xml:space="preserve">There are </w:t>
      </w:r>
      <w:r>
        <w:rPr>
          <w:rFonts w:eastAsia="Georgia" w:hAnsi="Georgia" w:cs="Georgia"/>
          <w:b/>
          <w:color w:val="000000"/>
        </w:rPr>
        <w:t>no FDA‑approved finished drug products</w:t>
      </w:r>
      <w:r>
        <w:rPr>
          <w:rFonts w:eastAsia="Georgia" w:hAnsi="Georgia" w:cs="Georgia"/>
          <w:color w:val="000000"/>
        </w:rPr>
        <w:t xml:space="preserve"> that contain Ipamorelin as the active ingredient as of the most recent compounding advisory documents.</w:t>
      </w:r>
      <w:bookmarkStart w:id="53" w:name="fnref11_1"/>
      <w:bookmarkEnd w:id="53"/>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3E0BDA71" w14:textId="77777777" w:rsidR="00CB417D" w:rsidRDefault="00000000">
      <w:pPr>
        <w:numPr>
          <w:ilvl w:val="0"/>
          <w:numId w:val="6"/>
        </w:numPr>
        <w:spacing w:before="105" w:after="105" w:line="360" w:lineRule="auto"/>
      </w:pPr>
      <w:r>
        <w:rPr>
          <w:rFonts w:eastAsia="Georgia" w:hAnsi="Georgia" w:cs="Georgia"/>
          <w:color w:val="000000"/>
        </w:rPr>
        <w:t>Discussions at regulatory meetings have raised questions about safety, benefit–risk balance, and whether it should be allowed as a bulk drug substance for routine compounding.</w:t>
      </w:r>
      <w:bookmarkStart w:id="54" w:name="fnref11_2"/>
      <w:bookmarkEnd w:id="54"/>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67C7F62B" w14:textId="77777777" w:rsidR="00CB417D" w:rsidRDefault="00000000">
      <w:pPr>
        <w:numPr>
          <w:ilvl w:val="0"/>
          <w:numId w:val="6"/>
        </w:numPr>
        <w:spacing w:before="105" w:after="105" w:line="360" w:lineRule="auto"/>
      </w:pPr>
      <w:r>
        <w:rPr>
          <w:rFonts w:eastAsia="Georgia" w:hAnsi="Georgia" w:cs="Georgia"/>
          <w:color w:val="000000"/>
        </w:rPr>
        <w:t>Many Ipamorelin products advertised online are labelled as “research only” and are not made under the same standards as licensed medicines, which makes identity, sterility, and impurity levels highly variable.</w:t>
      </w:r>
      <w:bookmarkStart w:id="55" w:name="fnref12"/>
      <w:bookmarkEnd w:id="55"/>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bookmarkStart w:id="56" w:name="fnref11_3"/>
      <w:bookmarkEnd w:id="56"/>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7D3BB6A5" w14:textId="77777777" w:rsidR="00CB417D" w:rsidRDefault="00000000">
      <w:pPr>
        <w:spacing w:after="210" w:line="360" w:lineRule="auto"/>
      </w:pPr>
      <w:r>
        <w:rPr>
          <w:rFonts w:eastAsia="Georgia" w:hAnsi="Georgia" w:cs="Georgia"/>
          <w:color w:val="000000"/>
        </w:rPr>
        <w:t xml:space="preserve">For these reasons, Ipamorelin should be viewed first and foremost as a </w:t>
      </w:r>
      <w:r>
        <w:rPr>
          <w:rFonts w:eastAsia="Georgia" w:hAnsi="Georgia" w:cs="Georgia"/>
          <w:b/>
          <w:color w:val="000000"/>
        </w:rPr>
        <w:t>research peptide</w:t>
      </w:r>
      <w:r>
        <w:rPr>
          <w:rFonts w:eastAsia="Georgia" w:hAnsi="Georgia" w:cs="Georgia"/>
          <w:color w:val="000000"/>
        </w:rPr>
        <w:t>, not as a self‑administered wellness product. Any discussion of dosing or clinical use belongs inside a regulated medical setting with appropriate lab monitoring, if it is used at all.</w:t>
      </w:r>
    </w:p>
    <w:p w14:paraId="76DACEC6" w14:textId="77777777" w:rsidR="00CB417D" w:rsidRDefault="009F3DDD">
      <w:pPr>
        <w:spacing w:before="210" w:after="0" w:line="360" w:lineRule="auto"/>
      </w:pPr>
      <w:r>
        <w:rPr>
          <w:noProof/>
        </w:rPr>
      </w:r>
      <w:r>
        <w:rPr>
          <w:noProof/>
        </w:rPr>
        <w:pict w14:anchorId="05F2145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3B856E" w14:textId="77777777" w:rsidR="00CB417D" w:rsidRDefault="00000000">
      <w:pPr>
        <w:spacing w:before="315" w:after="105" w:line="360" w:lineRule="auto"/>
        <w:ind w:left="-30"/>
      </w:pPr>
      <w:bookmarkStart w:id="57" w:name="the_takeaway"/>
      <w:r>
        <w:rPr>
          <w:rFonts w:eastAsia="Georgia" w:hAnsi="Georgia" w:cs="Georgia"/>
          <w:b/>
          <w:color w:val="000000"/>
          <w:sz w:val="24"/>
        </w:rPr>
        <w:lastRenderedPageBreak/>
        <w:t>The Takeaway</w:t>
      </w:r>
      <w:bookmarkEnd w:id="57"/>
    </w:p>
    <w:p w14:paraId="5D7A9E68" w14:textId="77777777" w:rsidR="00CB417D" w:rsidRDefault="00000000">
      <w:pPr>
        <w:spacing w:after="210" w:line="360" w:lineRule="auto"/>
      </w:pPr>
      <w:r>
        <w:rPr>
          <w:rFonts w:eastAsia="Georgia" w:hAnsi="Georgia" w:cs="Georgia"/>
          <w:color w:val="000000"/>
        </w:rPr>
        <w:t>Ipamorelin is a small, carefully designed peptide that has played an important role in research on the growth hormone axis. It stands out because it can trigger strong GH release through the ghrelin receptor while showing much less effect on cortisol and related stress hormones in standard models. That selectivity has made it a favourite tool in endocrine and metabolism studies, even though it has not moved forward as a widely approved medication.</w:t>
      </w:r>
      <w:bookmarkStart w:id="58" w:name="fnref1_10"/>
      <w:bookmarkEnd w:id="5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9" w:name="fnref4_6"/>
      <w:bookmarkEnd w:id="59"/>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60" w:name="fnref6_4"/>
      <w:bookmarkEnd w:id="60"/>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441BE6A1" w14:textId="77777777" w:rsidR="00CB417D" w:rsidRDefault="00000000">
      <w:pPr>
        <w:spacing w:after="210" w:line="360" w:lineRule="auto"/>
      </w:pPr>
      <w:r>
        <w:rPr>
          <w:rFonts w:eastAsia="Georgia" w:hAnsi="Georgia" w:cs="Georgia"/>
          <w:color w:val="000000"/>
        </w:rPr>
        <w:t xml:space="preserve">For readers and researchers, the key is to separate the </w:t>
      </w:r>
      <w:r>
        <w:rPr>
          <w:rFonts w:eastAsia="Georgia" w:hAnsi="Georgia" w:cs="Georgia"/>
          <w:b/>
          <w:color w:val="000000"/>
        </w:rPr>
        <w:t>mechanistic interest</w:t>
      </w:r>
      <w:r>
        <w:rPr>
          <w:rFonts w:eastAsia="Georgia" w:hAnsi="Georgia" w:cs="Georgia"/>
          <w:color w:val="000000"/>
        </w:rPr>
        <w:t xml:space="preserve"> (which is real and well documented) from marketing claims that may jump ahead of the evidence or ignore regulatory limits. Used correctly in a lab context, Ipamorelin helps scientists understand GH signalling, ghrelin biology, and related systems. Used casually outside of those boundaries, it carries the same risks and uncertainties as any unapproved hormone‑related compound.</w:t>
      </w:r>
      <w:bookmarkStart w:id="61" w:name="fnref2_7"/>
      <w:bookmarkEnd w:id="6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62" w:name="fnref11_4"/>
      <w:bookmarkEnd w:id="62"/>
      <w:r>
        <w:fldChar w:fldCharType="begin"/>
      </w:r>
      <w:r>
        <w:instrText>HYPERLINK \l "fn11" \h</w:instrText>
      </w:r>
      <w:r>
        <w:fldChar w:fldCharType="separate"/>
      </w:r>
      <w:r>
        <w:rPr>
          <w:rFonts w:ascii="Helvetica Neue" w:eastAsia="Helvetica Neue" w:hAnsi="Helvetica Neue" w:cs="Helvetica Neue"/>
          <w:u w:val="single"/>
          <w:vertAlign w:val="superscript"/>
        </w:rPr>
        <w:t>[11]</w:t>
      </w:r>
      <w:r>
        <w:fldChar w:fldCharType="end"/>
      </w:r>
    </w:p>
    <w:p w14:paraId="7D6B8913" w14:textId="77777777" w:rsidR="00CB417D" w:rsidRDefault="009F3DDD">
      <w:pPr>
        <w:spacing w:before="210" w:after="0" w:line="360" w:lineRule="auto"/>
      </w:pPr>
      <w:r>
        <w:rPr>
          <w:noProof/>
        </w:rPr>
      </w:r>
      <w:r>
        <w:rPr>
          <w:noProof/>
        </w:rPr>
        <w:pict w14:anchorId="17222E06">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768EE5" w14:textId="77777777" w:rsidR="00CB417D" w:rsidRDefault="00000000">
      <w:pPr>
        <w:spacing w:after="210" w:line="360" w:lineRule="auto"/>
      </w:pPr>
      <w:r>
        <w:rPr>
          <w:rFonts w:eastAsia="Georgia" w:hAnsi="Georgia" w:cs="Georgia"/>
          <w:color w:val="000000"/>
        </w:rPr>
        <w:t>To match your brand more closely: do you want future blogs like this to sound closer to “education for general readers” or closer to “technical notes for researchers” on PeptraBio?</w:t>
      </w:r>
      <w:r>
        <w:rPr>
          <w:rFonts w:eastAsia="Georgia" w:hAnsi="Georgia" w:cs="Georgia"/>
          <w:color w:val="000000"/>
        </w:rPr>
        <w:br/>
      </w:r>
    </w:p>
    <w:p w14:paraId="5C54BDBB" w14:textId="77777777" w:rsidR="00CB417D" w:rsidRDefault="00000000">
      <w:pPr>
        <w:spacing w:line="360" w:lineRule="auto"/>
      </w:pPr>
      <w:r>
        <w:rPr>
          <w:rFonts w:eastAsia="Georgia" w:hAnsi="Georgia" w:cs="Georgia"/>
          <w:color w:val="000000"/>
        </w:rPr>
        <w:t>⁂</w:t>
      </w:r>
    </w:p>
    <w:p w14:paraId="39FFA745" w14:textId="77777777" w:rsidR="00CB417D" w:rsidRDefault="009F3DDD">
      <w:pPr>
        <w:spacing w:before="210" w:after="0" w:line="360" w:lineRule="auto"/>
      </w:pPr>
      <w:r>
        <w:rPr>
          <w:noProof/>
        </w:rPr>
      </w:r>
      <w:r>
        <w:rPr>
          <w:noProof/>
        </w:rPr>
        <w:pict w14:anchorId="0694E0DD">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3" w:name="fn1"/>
    <w:bookmarkEnd w:id="63"/>
    <w:p w14:paraId="1FC0D0F8" w14:textId="77777777" w:rsidR="00CB417D" w:rsidRDefault="00000000">
      <w:pPr>
        <w:numPr>
          <w:ilvl w:val="0"/>
          <w:numId w:val="8"/>
        </w:numPr>
        <w:spacing w:after="210" w:line="360" w:lineRule="auto"/>
      </w:pPr>
      <w:r>
        <w:fldChar w:fldCharType="begin"/>
      </w:r>
      <w:r>
        <w:instrText>HYPERLINK "https://pubmed.ncbi.nlm.nih.gov/9849822/" \h</w:instrText>
      </w:r>
      <w:r>
        <w:fldChar w:fldCharType="separate"/>
      </w:r>
      <w:r>
        <w:rPr>
          <w:rFonts w:ascii="Helvetica Neue" w:eastAsia="Helvetica Neue" w:hAnsi="Helvetica Neue" w:cs="Helvetica Neue"/>
          <w:sz w:val="18"/>
          <w:u w:val="single"/>
        </w:rPr>
        <w:t>https://pubmed.ncbi.nlm.nih.gov/9849822/</w:t>
      </w:r>
      <w:r>
        <w:fldChar w:fldCharType="end"/>
      </w:r>
      <w:r>
        <w:rPr>
          <w:rFonts w:eastAsia="Georgia" w:hAnsi="Georgia" w:cs="Georgia"/>
          <w:color w:val="000000"/>
          <w:sz w:val="18"/>
        </w:rPr>
        <w:t xml:space="preserve">           </w:t>
      </w:r>
    </w:p>
    <w:bookmarkStart w:id="64" w:name="fn2"/>
    <w:bookmarkEnd w:id="64"/>
    <w:p w14:paraId="431D77D6" w14:textId="77777777" w:rsidR="00CB417D" w:rsidRDefault="00000000">
      <w:pPr>
        <w:numPr>
          <w:ilvl w:val="0"/>
          <w:numId w:val="8"/>
        </w:numPr>
        <w:spacing w:after="210" w:line="360" w:lineRule="auto"/>
      </w:pPr>
      <w:r>
        <w:fldChar w:fldCharType="begin"/>
      </w:r>
      <w:r>
        <w:instrText>HYPERLINK "https://peptidetreatments.com/peptides/ipamorelin" \h</w:instrText>
      </w:r>
      <w:r>
        <w:fldChar w:fldCharType="separate"/>
      </w:r>
      <w:r>
        <w:rPr>
          <w:rFonts w:ascii="Helvetica Neue" w:eastAsia="Helvetica Neue" w:hAnsi="Helvetica Neue" w:cs="Helvetica Neue"/>
          <w:sz w:val="18"/>
          <w:u w:val="single"/>
        </w:rPr>
        <w:t>https://peptidetreatments.com/peptides/ipamorelin</w:t>
      </w:r>
      <w:r>
        <w:fldChar w:fldCharType="end"/>
      </w:r>
      <w:r>
        <w:rPr>
          <w:rFonts w:eastAsia="Georgia" w:hAnsi="Georgia" w:cs="Georgia"/>
          <w:color w:val="000000"/>
          <w:sz w:val="18"/>
        </w:rPr>
        <w:t xml:space="preserve">        </w:t>
      </w:r>
    </w:p>
    <w:bookmarkStart w:id="65" w:name="fn3"/>
    <w:bookmarkEnd w:id="65"/>
    <w:p w14:paraId="5C8B19FE" w14:textId="77777777" w:rsidR="00CB417D" w:rsidRDefault="00000000">
      <w:pPr>
        <w:numPr>
          <w:ilvl w:val="0"/>
          <w:numId w:val="8"/>
        </w:numPr>
        <w:spacing w:after="210" w:line="360" w:lineRule="auto"/>
      </w:pPr>
      <w:r>
        <w:fldChar w:fldCharType="begin"/>
      </w:r>
      <w:r>
        <w:instrText>HYPERLINK "https://onlinelibrary.wiley.com/doi/10.1002/rco2.9" \h</w:instrText>
      </w:r>
      <w:r>
        <w:fldChar w:fldCharType="separate"/>
      </w:r>
      <w:r>
        <w:rPr>
          <w:rFonts w:ascii="Helvetica Neue" w:eastAsia="Helvetica Neue" w:hAnsi="Helvetica Neue" w:cs="Helvetica Neue"/>
          <w:sz w:val="18"/>
          <w:u w:val="single"/>
        </w:rPr>
        <w:t>https://onlinelibrary.wiley.com/doi/10.1002/rco2.9</w:t>
      </w:r>
      <w:r>
        <w:fldChar w:fldCharType="end"/>
      </w:r>
      <w:r>
        <w:rPr>
          <w:rFonts w:eastAsia="Georgia" w:hAnsi="Georgia" w:cs="Georgia"/>
          <w:color w:val="000000"/>
          <w:sz w:val="18"/>
        </w:rPr>
        <w:t xml:space="preserve">          </w:t>
      </w:r>
    </w:p>
    <w:bookmarkStart w:id="66" w:name="fn4"/>
    <w:bookmarkEnd w:id="66"/>
    <w:p w14:paraId="5F710987" w14:textId="77777777" w:rsidR="00CB417D" w:rsidRDefault="00000000">
      <w:pPr>
        <w:numPr>
          <w:ilvl w:val="0"/>
          <w:numId w:val="8"/>
        </w:numPr>
        <w:spacing w:after="210" w:line="360" w:lineRule="auto"/>
      </w:pPr>
      <w:r>
        <w:fldChar w:fldCharType="begin"/>
      </w:r>
      <w:r>
        <w:instrText>HYPERLINK "https://www.academia.edu/71290241/European_Journal_of_Endocrinology_1998_139_552_561_ISSN_0804_4643_Ipamorelin_the_first_selective_growth_hormone_secretagogue" \h</w:instrText>
      </w:r>
      <w:r>
        <w:fldChar w:fldCharType="separate"/>
      </w:r>
      <w:r>
        <w:rPr>
          <w:rFonts w:ascii="Helvetica Neue" w:eastAsia="Helvetica Neue" w:hAnsi="Helvetica Neue" w:cs="Helvetica Neue"/>
          <w:sz w:val="18"/>
          <w:u w:val="single"/>
        </w:rPr>
        <w:t>https://www.academia.edu/71290241/European_Journal_of_Endocrinology_1998_139_552_561_ISSN_0804_4643_Ipamorelin_the_first_selective_growth_hormone_secretagogue</w:t>
      </w:r>
      <w:r>
        <w:fldChar w:fldCharType="end"/>
      </w:r>
      <w:r>
        <w:rPr>
          <w:rFonts w:eastAsia="Georgia" w:hAnsi="Georgia" w:cs="Georgia"/>
          <w:color w:val="000000"/>
          <w:sz w:val="18"/>
        </w:rPr>
        <w:t xml:space="preserve">       </w:t>
      </w:r>
    </w:p>
    <w:bookmarkStart w:id="67" w:name="fn5"/>
    <w:bookmarkEnd w:id="67"/>
    <w:p w14:paraId="0E875B3C" w14:textId="77777777" w:rsidR="00CB417D" w:rsidRDefault="00000000">
      <w:pPr>
        <w:numPr>
          <w:ilvl w:val="0"/>
          <w:numId w:val="8"/>
        </w:numPr>
        <w:spacing w:after="210" w:line="360" w:lineRule="auto"/>
      </w:pPr>
      <w:r>
        <w:fldChar w:fldCharType="begin"/>
      </w:r>
      <w:r>
        <w:instrText>HYPERLINK "https://formblends.com/research/growth-hormone/ipamorelin-complete-guide" \h</w:instrText>
      </w:r>
      <w:r>
        <w:fldChar w:fldCharType="separate"/>
      </w:r>
      <w:r>
        <w:rPr>
          <w:rFonts w:ascii="Helvetica Neue" w:eastAsia="Helvetica Neue" w:hAnsi="Helvetica Neue" w:cs="Helvetica Neue"/>
          <w:sz w:val="18"/>
          <w:u w:val="single"/>
        </w:rPr>
        <w:t>https://formblends.com/research/growth-hormone/ipamorelin-complete-guide</w:t>
      </w:r>
      <w:r>
        <w:fldChar w:fldCharType="end"/>
      </w:r>
      <w:r>
        <w:rPr>
          <w:rFonts w:eastAsia="Georgia" w:hAnsi="Georgia" w:cs="Georgia"/>
          <w:color w:val="000000"/>
          <w:sz w:val="18"/>
        </w:rPr>
        <w:t xml:space="preserve">    </w:t>
      </w:r>
    </w:p>
    <w:bookmarkStart w:id="68" w:name="fn6"/>
    <w:bookmarkEnd w:id="68"/>
    <w:p w14:paraId="79C3C271" w14:textId="77777777" w:rsidR="00CB417D" w:rsidRDefault="00000000">
      <w:pPr>
        <w:numPr>
          <w:ilvl w:val="0"/>
          <w:numId w:val="8"/>
        </w:numPr>
        <w:spacing w:after="210" w:line="360" w:lineRule="auto"/>
      </w:pPr>
      <w:r>
        <w:fldChar w:fldCharType="begin"/>
      </w:r>
      <w:r>
        <w:instrText>HYPERLINK "https://palmettopeptides.com/blogs/news/ipamorelin-animal-studies" \h</w:instrText>
      </w:r>
      <w:r>
        <w:fldChar w:fldCharType="separate"/>
      </w:r>
      <w:r>
        <w:rPr>
          <w:rFonts w:ascii="Helvetica Neue" w:eastAsia="Helvetica Neue" w:hAnsi="Helvetica Neue" w:cs="Helvetica Neue"/>
          <w:sz w:val="18"/>
          <w:u w:val="single"/>
        </w:rPr>
        <w:t>https://palmettopeptides.com/blogs/news/ipamorelin-animal-studies</w:t>
      </w:r>
      <w:r>
        <w:fldChar w:fldCharType="end"/>
      </w:r>
      <w:r>
        <w:rPr>
          <w:rFonts w:eastAsia="Georgia" w:hAnsi="Georgia" w:cs="Georgia"/>
          <w:color w:val="000000"/>
          <w:sz w:val="18"/>
        </w:rPr>
        <w:t xml:space="preserve">     </w:t>
      </w:r>
    </w:p>
    <w:bookmarkStart w:id="69" w:name="fn7"/>
    <w:bookmarkEnd w:id="69"/>
    <w:p w14:paraId="66076B59" w14:textId="77777777" w:rsidR="00CB417D" w:rsidRDefault="00000000">
      <w:pPr>
        <w:numPr>
          <w:ilvl w:val="0"/>
          <w:numId w:val="8"/>
        </w:numPr>
        <w:spacing w:after="210" w:line="360" w:lineRule="auto"/>
      </w:pPr>
      <w:r>
        <w:fldChar w:fldCharType="begin"/>
      </w:r>
      <w:r>
        <w:instrText>HYPERLINK "https://biotechpeptides.com/2023/01/25/studies-in-ipamorelin-for-muscle-growth-and-bone-density/" \h</w:instrText>
      </w:r>
      <w:r>
        <w:fldChar w:fldCharType="separate"/>
      </w:r>
      <w:r>
        <w:rPr>
          <w:rFonts w:ascii="Helvetica Neue" w:eastAsia="Helvetica Neue" w:hAnsi="Helvetica Neue" w:cs="Helvetica Neue"/>
          <w:sz w:val="18"/>
          <w:u w:val="single"/>
        </w:rPr>
        <w:t>https://biotechpeptides.com/2023/01/25/studies-in-ipamorelin-for-muscle-growth-and-bone-density/</w:t>
      </w:r>
      <w:r>
        <w:fldChar w:fldCharType="end"/>
      </w:r>
      <w:r>
        <w:rPr>
          <w:rFonts w:eastAsia="Georgia" w:hAnsi="Georgia" w:cs="Georgia"/>
          <w:color w:val="000000"/>
          <w:sz w:val="18"/>
        </w:rPr>
        <w:t xml:space="preserve"> </w:t>
      </w:r>
    </w:p>
    <w:bookmarkStart w:id="70" w:name="fn8"/>
    <w:bookmarkEnd w:id="70"/>
    <w:p w14:paraId="45AE30BD" w14:textId="77777777" w:rsidR="00CB417D" w:rsidRDefault="00000000">
      <w:pPr>
        <w:numPr>
          <w:ilvl w:val="0"/>
          <w:numId w:val="8"/>
        </w:numPr>
        <w:spacing w:after="210" w:line="360" w:lineRule="auto"/>
      </w:pPr>
      <w:r>
        <w:fldChar w:fldCharType="begin"/>
      </w:r>
      <w:r>
        <w:instrText>HYPERLINK "https://www.sciencedirect.com/science/article/abs/pii/S1096637401902394" \h</w:instrText>
      </w:r>
      <w:r>
        <w:fldChar w:fldCharType="separate"/>
      </w:r>
      <w:r>
        <w:rPr>
          <w:rFonts w:ascii="Helvetica Neue" w:eastAsia="Helvetica Neue" w:hAnsi="Helvetica Neue" w:cs="Helvetica Neue"/>
          <w:sz w:val="18"/>
          <w:u w:val="single"/>
        </w:rPr>
        <w:t>https://www.sciencedirect.com/science/article/abs/pii/S1096637401902394</w:t>
      </w:r>
      <w:r>
        <w:fldChar w:fldCharType="end"/>
      </w:r>
      <w:r>
        <w:rPr>
          <w:rFonts w:eastAsia="Georgia" w:hAnsi="Georgia" w:cs="Georgia"/>
          <w:color w:val="000000"/>
          <w:sz w:val="18"/>
        </w:rPr>
        <w:t xml:space="preserve"> </w:t>
      </w:r>
    </w:p>
    <w:bookmarkStart w:id="71" w:name="fn9"/>
    <w:bookmarkEnd w:id="71"/>
    <w:p w14:paraId="4690A2B8" w14:textId="77777777" w:rsidR="00CB417D" w:rsidRDefault="00000000">
      <w:pPr>
        <w:numPr>
          <w:ilvl w:val="0"/>
          <w:numId w:val="8"/>
        </w:numPr>
        <w:spacing w:after="210" w:line="360" w:lineRule="auto"/>
      </w:pPr>
      <w:r>
        <w:fldChar w:fldCharType="begin"/>
      </w:r>
      <w:r>
        <w:instrText>HYPERLINK "https://pmc.ncbi.nlm.nih.gov/articles/PMC4863553/" \h</w:instrText>
      </w:r>
      <w:r>
        <w:fldChar w:fldCharType="separate"/>
      </w:r>
      <w:r>
        <w:rPr>
          <w:rFonts w:ascii="Helvetica Neue" w:eastAsia="Helvetica Neue" w:hAnsi="Helvetica Neue" w:cs="Helvetica Neue"/>
          <w:sz w:val="18"/>
          <w:u w:val="single"/>
        </w:rPr>
        <w:t>https://pmc.ncbi.nlm.nih.gov/articles/PMC4863553/</w:t>
      </w:r>
      <w:r>
        <w:fldChar w:fldCharType="end"/>
      </w:r>
      <w:r>
        <w:rPr>
          <w:rFonts w:eastAsia="Georgia" w:hAnsi="Georgia" w:cs="Georgia"/>
          <w:color w:val="000000"/>
          <w:sz w:val="18"/>
        </w:rPr>
        <w:t xml:space="preserve"> </w:t>
      </w:r>
    </w:p>
    <w:bookmarkStart w:id="72" w:name="fn10"/>
    <w:bookmarkEnd w:id="72"/>
    <w:p w14:paraId="35BF4170" w14:textId="77777777" w:rsidR="00CB417D" w:rsidRDefault="00000000">
      <w:pPr>
        <w:numPr>
          <w:ilvl w:val="0"/>
          <w:numId w:val="8"/>
        </w:numPr>
        <w:spacing w:after="210" w:line="360" w:lineRule="auto"/>
      </w:pPr>
      <w:r>
        <w:fldChar w:fldCharType="begin"/>
      </w:r>
      <w:r>
        <w:instrText>HYPERLINK "https://particlepeptides.com/en/blog/news/ipamorelin-a-scientific-perspective-on-a-selective-growth-hormone-secretagogue" \h</w:instrText>
      </w:r>
      <w:r>
        <w:fldChar w:fldCharType="separate"/>
      </w:r>
      <w:r>
        <w:rPr>
          <w:rFonts w:ascii="Helvetica Neue" w:eastAsia="Helvetica Neue" w:hAnsi="Helvetica Neue" w:cs="Helvetica Neue"/>
          <w:sz w:val="18"/>
          <w:u w:val="single"/>
        </w:rPr>
        <w:t>https://particlepeptides.com/en/blog/news/ipamorelin-a-scientific-perspective-on-a-selective-growth-hormone-secretagogue</w:t>
      </w:r>
      <w:r>
        <w:fldChar w:fldCharType="end"/>
      </w:r>
      <w:r>
        <w:rPr>
          <w:rFonts w:eastAsia="Georgia" w:hAnsi="Georgia" w:cs="Georgia"/>
          <w:color w:val="000000"/>
          <w:sz w:val="18"/>
        </w:rPr>
        <w:t xml:space="preserve">  </w:t>
      </w:r>
    </w:p>
    <w:bookmarkStart w:id="73" w:name="fn11"/>
    <w:bookmarkEnd w:id="73"/>
    <w:p w14:paraId="053E424E" w14:textId="77777777" w:rsidR="00CB417D" w:rsidRDefault="00000000">
      <w:pPr>
        <w:numPr>
          <w:ilvl w:val="0"/>
          <w:numId w:val="8"/>
        </w:numPr>
        <w:spacing w:after="210" w:line="360" w:lineRule="auto"/>
      </w:pPr>
      <w:r>
        <w:lastRenderedPageBreak/>
        <w:fldChar w:fldCharType="begin"/>
      </w:r>
      <w:r>
        <w:instrText>HYPERLINK "https://www.fda.gov/media/182088/download" \h</w:instrText>
      </w:r>
      <w:r>
        <w:fldChar w:fldCharType="separate"/>
      </w:r>
      <w:r>
        <w:rPr>
          <w:rFonts w:ascii="Helvetica Neue" w:eastAsia="Helvetica Neue" w:hAnsi="Helvetica Neue" w:cs="Helvetica Neue"/>
          <w:sz w:val="18"/>
          <w:u w:val="single"/>
        </w:rPr>
        <w:t>https://www.fda.gov/media/182088/download</w:t>
      </w:r>
      <w:r>
        <w:fldChar w:fldCharType="end"/>
      </w:r>
      <w:r>
        <w:rPr>
          <w:rFonts w:eastAsia="Georgia" w:hAnsi="Georgia" w:cs="Georgia"/>
          <w:color w:val="000000"/>
          <w:sz w:val="18"/>
        </w:rPr>
        <w:t xml:space="preserve">     </w:t>
      </w:r>
    </w:p>
    <w:bookmarkStart w:id="74" w:name="fn12"/>
    <w:bookmarkEnd w:id="74"/>
    <w:p w14:paraId="40824AEE" w14:textId="77777777" w:rsidR="00CB417D" w:rsidRDefault="00000000">
      <w:pPr>
        <w:numPr>
          <w:ilvl w:val="0"/>
          <w:numId w:val="8"/>
        </w:numPr>
        <w:spacing w:after="210" w:line="360" w:lineRule="auto"/>
      </w:pPr>
      <w:r>
        <w:fldChar w:fldCharType="begin"/>
      </w:r>
      <w:r>
        <w:instrText>HYPERLINK "https://www.innerbody.com/beginners-guide-to-peptide-therapy" \h</w:instrText>
      </w:r>
      <w:r>
        <w:fldChar w:fldCharType="separate"/>
      </w:r>
      <w:r>
        <w:rPr>
          <w:rFonts w:ascii="Helvetica Neue" w:eastAsia="Helvetica Neue" w:hAnsi="Helvetica Neue" w:cs="Helvetica Neue"/>
          <w:sz w:val="18"/>
          <w:u w:val="single"/>
        </w:rPr>
        <w:t>https://www.innerbody.com/beginners-guide-to-peptide-therapy</w:t>
      </w:r>
      <w:r>
        <w:fldChar w:fldCharType="end"/>
      </w:r>
      <w:r>
        <w:rPr>
          <w:rFonts w:eastAsia="Georgia" w:hAnsi="Georgia" w:cs="Georgia"/>
          <w:color w:val="000000"/>
          <w:sz w:val="18"/>
        </w:rPr>
        <w:t xml:space="preserve"> </w:t>
      </w:r>
    </w:p>
    <w:bookmarkStart w:id="75" w:name="fn13"/>
    <w:bookmarkEnd w:id="75"/>
    <w:p w14:paraId="618166D3" w14:textId="77777777" w:rsidR="00CB417D" w:rsidRDefault="00000000">
      <w:pPr>
        <w:numPr>
          <w:ilvl w:val="0"/>
          <w:numId w:val="8"/>
        </w:numPr>
        <w:spacing w:after="210" w:line="360" w:lineRule="auto"/>
      </w:pPr>
      <w:r>
        <w:fldChar w:fldCharType="begin"/>
      </w:r>
      <w:r>
        <w:instrText>HYPERLINK "https://www.biochempeg.com/article/422.html" \h</w:instrText>
      </w:r>
      <w:r>
        <w:fldChar w:fldCharType="separate"/>
      </w:r>
      <w:r>
        <w:rPr>
          <w:rFonts w:ascii="Helvetica Neue" w:eastAsia="Helvetica Neue" w:hAnsi="Helvetica Neue" w:cs="Helvetica Neue"/>
          <w:sz w:val="18"/>
          <w:u w:val="single"/>
        </w:rPr>
        <w:t>https://www.biochempeg.com/article/422.html</w:t>
      </w:r>
      <w:r>
        <w:fldChar w:fldCharType="end"/>
      </w:r>
      <w:r>
        <w:rPr>
          <w:rFonts w:eastAsia="Georgia" w:hAnsi="Georgia" w:cs="Georgia"/>
          <w:color w:val="000000"/>
          <w:sz w:val="18"/>
        </w:rPr>
        <w:t xml:space="preserve"> </w:t>
      </w:r>
    </w:p>
    <w:bookmarkStart w:id="76" w:name="fn14"/>
    <w:bookmarkEnd w:id="76"/>
    <w:p w14:paraId="3C5288BD" w14:textId="77777777" w:rsidR="00CB417D" w:rsidRDefault="00000000">
      <w:pPr>
        <w:numPr>
          <w:ilvl w:val="0"/>
          <w:numId w:val="8"/>
        </w:numPr>
        <w:spacing w:after="210" w:line="360" w:lineRule="auto"/>
      </w:pPr>
      <w:r>
        <w:fldChar w:fldCharType="begin"/>
      </w:r>
      <w:r>
        <w:instrText>HYPERLINK "https://www.instagram.com/popular/ipamorelin-fda-approval-or-status/" \h</w:instrText>
      </w:r>
      <w:r>
        <w:fldChar w:fldCharType="separate"/>
      </w:r>
      <w:r>
        <w:rPr>
          <w:rFonts w:ascii="Helvetica Neue" w:eastAsia="Helvetica Neue" w:hAnsi="Helvetica Neue" w:cs="Helvetica Neue"/>
          <w:sz w:val="18"/>
          <w:u w:val="single"/>
        </w:rPr>
        <w:t>https://www.instagram.com/popular/ipamorelin-fda-approval-or-status/</w:t>
      </w:r>
      <w:r>
        <w:fldChar w:fldCharType="end"/>
      </w:r>
      <w:r>
        <w:rPr>
          <w:rFonts w:eastAsia="Georgia" w:hAnsi="Georgia" w:cs="Georgia"/>
          <w:color w:val="000000"/>
          <w:sz w:val="18"/>
        </w:rPr>
        <w:t xml:space="preserve"> </w:t>
      </w:r>
    </w:p>
    <w:bookmarkStart w:id="77" w:name="fn15"/>
    <w:bookmarkEnd w:id="77"/>
    <w:p w14:paraId="45549D91" w14:textId="77777777" w:rsidR="00CB417D" w:rsidRDefault="00000000">
      <w:pPr>
        <w:numPr>
          <w:ilvl w:val="0"/>
          <w:numId w:val="8"/>
        </w:numPr>
        <w:spacing w:after="210" w:line="360" w:lineRule="auto"/>
      </w:pPr>
      <w:r>
        <w:fldChar w:fldCharType="begin"/>
      </w:r>
      <w:r>
        <w:instrText>HYPERLINK "https://biotechpeptides.com/2026/03/10/ipamorelin-peptide-research-overview-into-growth-hormone-modulation-and-energy-homeostasis/" \h</w:instrText>
      </w:r>
      <w:r>
        <w:fldChar w:fldCharType="separate"/>
      </w:r>
      <w:r>
        <w:rPr>
          <w:rFonts w:ascii="Helvetica Neue" w:eastAsia="Helvetica Neue" w:hAnsi="Helvetica Neue" w:cs="Helvetica Neue"/>
          <w:sz w:val="18"/>
          <w:u w:val="single"/>
        </w:rPr>
        <w:t>https://biotechpeptides.com/2026/03/10/ipamorelin-peptide-research-overview-into-growth-hormone-modulation-and-energy-homeostasis/</w:t>
      </w:r>
      <w:r>
        <w:fldChar w:fldCharType="end"/>
      </w:r>
      <w:r>
        <w:rPr>
          <w:rFonts w:eastAsia="Georgia" w:hAnsi="Georgia" w:cs="Georgia"/>
          <w:color w:val="000000"/>
          <w:sz w:val="18"/>
        </w:rPr>
        <w:t xml:space="preserve"> </w:t>
      </w:r>
    </w:p>
    <w:bookmarkStart w:id="78" w:name="fn16"/>
    <w:bookmarkEnd w:id="78"/>
    <w:p w14:paraId="5A2D9486" w14:textId="77777777" w:rsidR="00CB417D" w:rsidRDefault="00000000">
      <w:pPr>
        <w:numPr>
          <w:ilvl w:val="0"/>
          <w:numId w:val="8"/>
        </w:numPr>
        <w:spacing w:after="210" w:line="360" w:lineRule="auto"/>
      </w:pPr>
      <w:r>
        <w:fldChar w:fldCharType="begin"/>
      </w:r>
      <w:r>
        <w:instrText>HYPERLINK "https://eurjanat.com/v1/journal/pdfdownload.php?id=02010037" \h</w:instrText>
      </w:r>
      <w:r>
        <w:fldChar w:fldCharType="separate"/>
      </w:r>
      <w:r>
        <w:rPr>
          <w:rFonts w:ascii="Helvetica Neue" w:eastAsia="Helvetica Neue" w:hAnsi="Helvetica Neue" w:cs="Helvetica Neue"/>
          <w:sz w:val="18"/>
          <w:u w:val="single"/>
        </w:rPr>
        <w:t>https://eurjanat.com/v1/journal/pdfdownload.php?id=02010037</w:t>
      </w:r>
      <w:r>
        <w:fldChar w:fldCharType="end"/>
      </w:r>
      <w:r>
        <w:rPr>
          <w:rFonts w:eastAsia="Georgia" w:hAnsi="Georgia" w:cs="Georgia"/>
          <w:color w:val="000000"/>
          <w:sz w:val="18"/>
        </w:rPr>
        <w:t xml:space="preserve"> </w:t>
      </w:r>
    </w:p>
    <w:sectPr w:rsidR="00CB417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pplxSerif">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79A"/>
    <w:multiLevelType w:val="hybridMultilevel"/>
    <w:tmpl w:val="8B6078CC"/>
    <w:lvl w:ilvl="0" w:tplc="C168558A">
      <w:start w:val="1"/>
      <w:numFmt w:val="bullet"/>
      <w:lvlText w:val=""/>
      <w:lvlJc w:val="left"/>
      <w:pPr>
        <w:tabs>
          <w:tab w:val="num" w:pos="900"/>
        </w:tabs>
        <w:ind w:left="540" w:hanging="360"/>
      </w:pPr>
      <w:rPr>
        <w:rFonts w:ascii="Symbol" w:hAnsi="Symbol" w:hint="default"/>
      </w:rPr>
    </w:lvl>
    <w:lvl w:ilvl="1" w:tplc="0D0616E0">
      <w:numFmt w:val="decimal"/>
      <w:lvlText w:val=""/>
      <w:lvlJc w:val="left"/>
    </w:lvl>
    <w:lvl w:ilvl="2" w:tplc="F2D475CA">
      <w:numFmt w:val="decimal"/>
      <w:lvlText w:val=""/>
      <w:lvlJc w:val="left"/>
    </w:lvl>
    <w:lvl w:ilvl="3" w:tplc="628E57CC">
      <w:numFmt w:val="decimal"/>
      <w:lvlText w:val=""/>
      <w:lvlJc w:val="left"/>
    </w:lvl>
    <w:lvl w:ilvl="4" w:tplc="B3229C36">
      <w:numFmt w:val="decimal"/>
      <w:lvlText w:val=""/>
      <w:lvlJc w:val="left"/>
    </w:lvl>
    <w:lvl w:ilvl="5" w:tplc="3A14A374">
      <w:numFmt w:val="decimal"/>
      <w:lvlText w:val=""/>
      <w:lvlJc w:val="left"/>
    </w:lvl>
    <w:lvl w:ilvl="6" w:tplc="325AEC40">
      <w:numFmt w:val="decimal"/>
      <w:lvlText w:val=""/>
      <w:lvlJc w:val="left"/>
    </w:lvl>
    <w:lvl w:ilvl="7" w:tplc="FF60C724">
      <w:numFmt w:val="decimal"/>
      <w:lvlText w:val=""/>
      <w:lvlJc w:val="left"/>
    </w:lvl>
    <w:lvl w:ilvl="8" w:tplc="2906242E">
      <w:numFmt w:val="decimal"/>
      <w:lvlText w:val=""/>
      <w:lvlJc w:val="left"/>
    </w:lvl>
  </w:abstractNum>
  <w:abstractNum w:abstractNumId="1" w15:restartNumberingAfterBreak="0">
    <w:nsid w:val="106A6605"/>
    <w:multiLevelType w:val="hybridMultilevel"/>
    <w:tmpl w:val="1E2274A0"/>
    <w:lvl w:ilvl="0" w:tplc="9A1CD444">
      <w:start w:val="1"/>
      <w:numFmt w:val="bullet"/>
      <w:lvlText w:val=""/>
      <w:lvlJc w:val="left"/>
      <w:pPr>
        <w:tabs>
          <w:tab w:val="num" w:pos="900"/>
        </w:tabs>
        <w:ind w:left="540" w:hanging="360"/>
      </w:pPr>
      <w:rPr>
        <w:rFonts w:ascii="Symbol" w:hAnsi="Symbol" w:hint="default"/>
      </w:rPr>
    </w:lvl>
    <w:lvl w:ilvl="1" w:tplc="AB463BAE">
      <w:numFmt w:val="decimal"/>
      <w:lvlText w:val=""/>
      <w:lvlJc w:val="left"/>
    </w:lvl>
    <w:lvl w:ilvl="2" w:tplc="0B7AC5FE">
      <w:numFmt w:val="decimal"/>
      <w:lvlText w:val=""/>
      <w:lvlJc w:val="left"/>
    </w:lvl>
    <w:lvl w:ilvl="3" w:tplc="380C9744">
      <w:numFmt w:val="decimal"/>
      <w:lvlText w:val=""/>
      <w:lvlJc w:val="left"/>
    </w:lvl>
    <w:lvl w:ilvl="4" w:tplc="90BC156A">
      <w:numFmt w:val="decimal"/>
      <w:lvlText w:val=""/>
      <w:lvlJc w:val="left"/>
    </w:lvl>
    <w:lvl w:ilvl="5" w:tplc="EBD4E788">
      <w:numFmt w:val="decimal"/>
      <w:lvlText w:val=""/>
      <w:lvlJc w:val="left"/>
    </w:lvl>
    <w:lvl w:ilvl="6" w:tplc="F454CB9C">
      <w:numFmt w:val="decimal"/>
      <w:lvlText w:val=""/>
      <w:lvlJc w:val="left"/>
    </w:lvl>
    <w:lvl w:ilvl="7" w:tplc="A596F9D4">
      <w:numFmt w:val="decimal"/>
      <w:lvlText w:val=""/>
      <w:lvlJc w:val="left"/>
    </w:lvl>
    <w:lvl w:ilvl="8" w:tplc="D86E76CA">
      <w:numFmt w:val="decimal"/>
      <w:lvlText w:val=""/>
      <w:lvlJc w:val="left"/>
    </w:lvl>
  </w:abstractNum>
  <w:abstractNum w:abstractNumId="2" w15:restartNumberingAfterBreak="0">
    <w:nsid w:val="267465F2"/>
    <w:multiLevelType w:val="hybridMultilevel"/>
    <w:tmpl w:val="712C06B0"/>
    <w:lvl w:ilvl="0" w:tplc="D7BA91B8">
      <w:start w:val="1"/>
      <w:numFmt w:val="bullet"/>
      <w:lvlText w:val=""/>
      <w:lvlJc w:val="left"/>
      <w:pPr>
        <w:tabs>
          <w:tab w:val="num" w:pos="900"/>
        </w:tabs>
        <w:ind w:left="540" w:hanging="360"/>
      </w:pPr>
      <w:rPr>
        <w:rFonts w:ascii="Symbol" w:hAnsi="Symbol" w:hint="default"/>
      </w:rPr>
    </w:lvl>
    <w:lvl w:ilvl="1" w:tplc="BCA22F52">
      <w:numFmt w:val="decimal"/>
      <w:lvlText w:val=""/>
      <w:lvlJc w:val="left"/>
    </w:lvl>
    <w:lvl w:ilvl="2" w:tplc="DFF09318">
      <w:numFmt w:val="decimal"/>
      <w:lvlText w:val=""/>
      <w:lvlJc w:val="left"/>
    </w:lvl>
    <w:lvl w:ilvl="3" w:tplc="78E45DE8">
      <w:numFmt w:val="decimal"/>
      <w:lvlText w:val=""/>
      <w:lvlJc w:val="left"/>
    </w:lvl>
    <w:lvl w:ilvl="4" w:tplc="F6E438E0">
      <w:numFmt w:val="decimal"/>
      <w:lvlText w:val=""/>
      <w:lvlJc w:val="left"/>
    </w:lvl>
    <w:lvl w:ilvl="5" w:tplc="765ADB68">
      <w:numFmt w:val="decimal"/>
      <w:lvlText w:val=""/>
      <w:lvlJc w:val="left"/>
    </w:lvl>
    <w:lvl w:ilvl="6" w:tplc="C3B6A978">
      <w:numFmt w:val="decimal"/>
      <w:lvlText w:val=""/>
      <w:lvlJc w:val="left"/>
    </w:lvl>
    <w:lvl w:ilvl="7" w:tplc="0B203AAC">
      <w:numFmt w:val="decimal"/>
      <w:lvlText w:val=""/>
      <w:lvlJc w:val="left"/>
    </w:lvl>
    <w:lvl w:ilvl="8" w:tplc="68CE4680">
      <w:numFmt w:val="decimal"/>
      <w:lvlText w:val=""/>
      <w:lvlJc w:val="left"/>
    </w:lvl>
  </w:abstractNum>
  <w:abstractNum w:abstractNumId="3" w15:restartNumberingAfterBreak="0">
    <w:nsid w:val="5B7E3F63"/>
    <w:multiLevelType w:val="hybridMultilevel"/>
    <w:tmpl w:val="FC14314A"/>
    <w:lvl w:ilvl="0" w:tplc="5A3AF406">
      <w:start w:val="1"/>
      <w:numFmt w:val="bullet"/>
      <w:lvlText w:val=""/>
      <w:lvlJc w:val="left"/>
      <w:pPr>
        <w:tabs>
          <w:tab w:val="num" w:pos="900"/>
        </w:tabs>
        <w:ind w:left="540" w:hanging="360"/>
      </w:pPr>
      <w:rPr>
        <w:rFonts w:ascii="Symbol" w:hAnsi="Symbol" w:hint="default"/>
      </w:rPr>
    </w:lvl>
    <w:lvl w:ilvl="1" w:tplc="1D12C242">
      <w:numFmt w:val="decimal"/>
      <w:lvlText w:val=""/>
      <w:lvlJc w:val="left"/>
    </w:lvl>
    <w:lvl w:ilvl="2" w:tplc="FFB8D702">
      <w:numFmt w:val="decimal"/>
      <w:lvlText w:val=""/>
      <w:lvlJc w:val="left"/>
    </w:lvl>
    <w:lvl w:ilvl="3" w:tplc="29227B88">
      <w:numFmt w:val="decimal"/>
      <w:lvlText w:val=""/>
      <w:lvlJc w:val="left"/>
    </w:lvl>
    <w:lvl w:ilvl="4" w:tplc="818414CA">
      <w:numFmt w:val="decimal"/>
      <w:lvlText w:val=""/>
      <w:lvlJc w:val="left"/>
    </w:lvl>
    <w:lvl w:ilvl="5" w:tplc="0BECE274">
      <w:numFmt w:val="decimal"/>
      <w:lvlText w:val=""/>
      <w:lvlJc w:val="left"/>
    </w:lvl>
    <w:lvl w:ilvl="6" w:tplc="29D05E0A">
      <w:numFmt w:val="decimal"/>
      <w:lvlText w:val=""/>
      <w:lvlJc w:val="left"/>
    </w:lvl>
    <w:lvl w:ilvl="7" w:tplc="43A0B514">
      <w:numFmt w:val="decimal"/>
      <w:lvlText w:val=""/>
      <w:lvlJc w:val="left"/>
    </w:lvl>
    <w:lvl w:ilvl="8" w:tplc="635AD394">
      <w:numFmt w:val="decimal"/>
      <w:lvlText w:val=""/>
      <w:lvlJc w:val="left"/>
    </w:lvl>
  </w:abstractNum>
  <w:abstractNum w:abstractNumId="4" w15:restartNumberingAfterBreak="0">
    <w:nsid w:val="5C9F7790"/>
    <w:multiLevelType w:val="hybridMultilevel"/>
    <w:tmpl w:val="1E1EA574"/>
    <w:lvl w:ilvl="0" w:tplc="FC8E8746">
      <w:start w:val="1"/>
      <w:numFmt w:val="decimal"/>
      <w:lvlText w:val="%1."/>
      <w:lvlJc w:val="left"/>
      <w:pPr>
        <w:tabs>
          <w:tab w:val="num" w:pos="900"/>
        </w:tabs>
        <w:ind w:left="540" w:hanging="360"/>
      </w:pPr>
    </w:lvl>
    <w:lvl w:ilvl="1" w:tplc="F5E6345C">
      <w:numFmt w:val="decimal"/>
      <w:lvlText w:val=""/>
      <w:lvlJc w:val="left"/>
    </w:lvl>
    <w:lvl w:ilvl="2" w:tplc="1B3E79DC">
      <w:numFmt w:val="decimal"/>
      <w:lvlText w:val=""/>
      <w:lvlJc w:val="left"/>
    </w:lvl>
    <w:lvl w:ilvl="3" w:tplc="6550321A">
      <w:numFmt w:val="decimal"/>
      <w:lvlText w:val=""/>
      <w:lvlJc w:val="left"/>
    </w:lvl>
    <w:lvl w:ilvl="4" w:tplc="6EECB252">
      <w:numFmt w:val="decimal"/>
      <w:lvlText w:val=""/>
      <w:lvlJc w:val="left"/>
    </w:lvl>
    <w:lvl w:ilvl="5" w:tplc="8FFC52F0">
      <w:numFmt w:val="decimal"/>
      <w:lvlText w:val=""/>
      <w:lvlJc w:val="left"/>
    </w:lvl>
    <w:lvl w:ilvl="6" w:tplc="5790A7CE">
      <w:numFmt w:val="decimal"/>
      <w:lvlText w:val=""/>
      <w:lvlJc w:val="left"/>
    </w:lvl>
    <w:lvl w:ilvl="7" w:tplc="F40637CC">
      <w:numFmt w:val="decimal"/>
      <w:lvlText w:val=""/>
      <w:lvlJc w:val="left"/>
    </w:lvl>
    <w:lvl w:ilvl="8" w:tplc="E6C4693E">
      <w:numFmt w:val="decimal"/>
      <w:lvlText w:val=""/>
      <w:lvlJc w:val="left"/>
    </w:lvl>
  </w:abstractNum>
  <w:abstractNum w:abstractNumId="5" w15:restartNumberingAfterBreak="0">
    <w:nsid w:val="693C7D2C"/>
    <w:multiLevelType w:val="hybridMultilevel"/>
    <w:tmpl w:val="CD90CACC"/>
    <w:lvl w:ilvl="0" w:tplc="9566D438">
      <w:start w:val="1"/>
      <w:numFmt w:val="bullet"/>
      <w:lvlText w:val=""/>
      <w:lvlJc w:val="left"/>
      <w:pPr>
        <w:tabs>
          <w:tab w:val="num" w:pos="900"/>
        </w:tabs>
        <w:ind w:left="540" w:hanging="360"/>
      </w:pPr>
      <w:rPr>
        <w:rFonts w:ascii="Symbol" w:hAnsi="Symbol" w:hint="default"/>
      </w:rPr>
    </w:lvl>
    <w:lvl w:ilvl="1" w:tplc="1DDCEDC6">
      <w:numFmt w:val="decimal"/>
      <w:lvlText w:val=""/>
      <w:lvlJc w:val="left"/>
    </w:lvl>
    <w:lvl w:ilvl="2" w:tplc="812CD6D0">
      <w:numFmt w:val="decimal"/>
      <w:lvlText w:val=""/>
      <w:lvlJc w:val="left"/>
    </w:lvl>
    <w:lvl w:ilvl="3" w:tplc="9F5C034E">
      <w:numFmt w:val="decimal"/>
      <w:lvlText w:val=""/>
      <w:lvlJc w:val="left"/>
    </w:lvl>
    <w:lvl w:ilvl="4" w:tplc="41888B06">
      <w:numFmt w:val="decimal"/>
      <w:lvlText w:val=""/>
      <w:lvlJc w:val="left"/>
    </w:lvl>
    <w:lvl w:ilvl="5" w:tplc="0F9E5F98">
      <w:numFmt w:val="decimal"/>
      <w:lvlText w:val=""/>
      <w:lvlJc w:val="left"/>
    </w:lvl>
    <w:lvl w:ilvl="6" w:tplc="E3FE2B9E">
      <w:numFmt w:val="decimal"/>
      <w:lvlText w:val=""/>
      <w:lvlJc w:val="left"/>
    </w:lvl>
    <w:lvl w:ilvl="7" w:tplc="D98A06B6">
      <w:numFmt w:val="decimal"/>
      <w:lvlText w:val=""/>
      <w:lvlJc w:val="left"/>
    </w:lvl>
    <w:lvl w:ilvl="8" w:tplc="D4E044F0">
      <w:numFmt w:val="decimal"/>
      <w:lvlText w:val=""/>
      <w:lvlJc w:val="left"/>
    </w:lvl>
  </w:abstractNum>
  <w:abstractNum w:abstractNumId="6" w15:restartNumberingAfterBreak="0">
    <w:nsid w:val="7236474D"/>
    <w:multiLevelType w:val="hybridMultilevel"/>
    <w:tmpl w:val="3C644480"/>
    <w:lvl w:ilvl="0" w:tplc="66FEB5FC">
      <w:start w:val="1"/>
      <w:numFmt w:val="bullet"/>
      <w:lvlText w:val=""/>
      <w:lvlJc w:val="left"/>
      <w:pPr>
        <w:tabs>
          <w:tab w:val="num" w:pos="900"/>
        </w:tabs>
        <w:ind w:left="540" w:hanging="360"/>
      </w:pPr>
      <w:rPr>
        <w:rFonts w:ascii="Symbol" w:hAnsi="Symbol" w:hint="default"/>
      </w:rPr>
    </w:lvl>
    <w:lvl w:ilvl="1" w:tplc="F67C8D5C">
      <w:numFmt w:val="decimal"/>
      <w:lvlText w:val=""/>
      <w:lvlJc w:val="left"/>
    </w:lvl>
    <w:lvl w:ilvl="2" w:tplc="6F048F7E">
      <w:numFmt w:val="decimal"/>
      <w:lvlText w:val=""/>
      <w:lvlJc w:val="left"/>
    </w:lvl>
    <w:lvl w:ilvl="3" w:tplc="4BB021D8">
      <w:numFmt w:val="decimal"/>
      <w:lvlText w:val=""/>
      <w:lvlJc w:val="left"/>
    </w:lvl>
    <w:lvl w:ilvl="4" w:tplc="A6E4E854">
      <w:numFmt w:val="decimal"/>
      <w:lvlText w:val=""/>
      <w:lvlJc w:val="left"/>
    </w:lvl>
    <w:lvl w:ilvl="5" w:tplc="6780F4DC">
      <w:numFmt w:val="decimal"/>
      <w:lvlText w:val=""/>
      <w:lvlJc w:val="left"/>
    </w:lvl>
    <w:lvl w:ilvl="6" w:tplc="408A7902">
      <w:numFmt w:val="decimal"/>
      <w:lvlText w:val=""/>
      <w:lvlJc w:val="left"/>
    </w:lvl>
    <w:lvl w:ilvl="7" w:tplc="A9C67DD0">
      <w:numFmt w:val="decimal"/>
      <w:lvlText w:val=""/>
      <w:lvlJc w:val="left"/>
    </w:lvl>
    <w:lvl w:ilvl="8" w:tplc="01B4AEAA">
      <w:numFmt w:val="decimal"/>
      <w:lvlText w:val=""/>
      <w:lvlJc w:val="left"/>
    </w:lvl>
  </w:abstractNum>
  <w:abstractNum w:abstractNumId="7" w15:restartNumberingAfterBreak="0">
    <w:nsid w:val="79D11295"/>
    <w:multiLevelType w:val="hybridMultilevel"/>
    <w:tmpl w:val="4530AD7A"/>
    <w:lvl w:ilvl="0" w:tplc="C45222A8">
      <w:numFmt w:val="decimal"/>
      <w:lvlText w:val=""/>
      <w:lvlJc w:val="left"/>
    </w:lvl>
    <w:lvl w:ilvl="1" w:tplc="CE30AC34">
      <w:numFmt w:val="decimal"/>
      <w:lvlText w:val=""/>
      <w:lvlJc w:val="left"/>
    </w:lvl>
    <w:lvl w:ilvl="2" w:tplc="B87C23B6">
      <w:numFmt w:val="decimal"/>
      <w:lvlText w:val=""/>
      <w:lvlJc w:val="left"/>
    </w:lvl>
    <w:lvl w:ilvl="3" w:tplc="5AD6293A">
      <w:numFmt w:val="decimal"/>
      <w:lvlText w:val=""/>
      <w:lvlJc w:val="left"/>
    </w:lvl>
    <w:lvl w:ilvl="4" w:tplc="1AC8B860">
      <w:numFmt w:val="decimal"/>
      <w:lvlText w:val=""/>
      <w:lvlJc w:val="left"/>
    </w:lvl>
    <w:lvl w:ilvl="5" w:tplc="B37629FC">
      <w:numFmt w:val="decimal"/>
      <w:lvlText w:val=""/>
      <w:lvlJc w:val="left"/>
    </w:lvl>
    <w:lvl w:ilvl="6" w:tplc="04D2699A">
      <w:numFmt w:val="decimal"/>
      <w:lvlText w:val=""/>
      <w:lvlJc w:val="left"/>
    </w:lvl>
    <w:lvl w:ilvl="7" w:tplc="BF6C26E2">
      <w:numFmt w:val="decimal"/>
      <w:lvlText w:val=""/>
      <w:lvlJc w:val="left"/>
    </w:lvl>
    <w:lvl w:ilvl="8" w:tplc="0B52C732">
      <w:numFmt w:val="decimal"/>
      <w:lvlText w:val=""/>
      <w:lvlJc w:val="left"/>
    </w:lvl>
  </w:abstractNum>
  <w:num w:numId="1" w16cid:durableId="2076540190">
    <w:abstractNumId w:val="0"/>
  </w:num>
  <w:num w:numId="2" w16cid:durableId="785468682">
    <w:abstractNumId w:val="2"/>
  </w:num>
  <w:num w:numId="3" w16cid:durableId="245891126">
    <w:abstractNumId w:val="1"/>
  </w:num>
  <w:num w:numId="4" w16cid:durableId="1076123972">
    <w:abstractNumId w:val="5"/>
  </w:num>
  <w:num w:numId="5" w16cid:durableId="963345833">
    <w:abstractNumId w:val="6"/>
  </w:num>
  <w:num w:numId="6" w16cid:durableId="293607309">
    <w:abstractNumId w:val="3"/>
  </w:num>
  <w:num w:numId="7" w16cid:durableId="400637006">
    <w:abstractNumId w:val="7"/>
  </w:num>
  <w:num w:numId="8" w16cid:durableId="390810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17D"/>
    <w:rsid w:val="004543C4"/>
    <w:rsid w:val="009F3DDD"/>
    <w:rsid w:val="00AC1E94"/>
    <w:rsid w:val="00CB41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2F3AD33"/>
  <w15:docId w15:val="{F4FD59B9-4248-E240-B861-6CF156023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1E94"/>
    <w:pPr>
      <w:spacing w:before="100" w:beforeAutospacing="1" w:after="100" w:afterAutospacing="1" w:line="240" w:lineRule="auto"/>
      <w:outlineLvl w:val="1"/>
    </w:pPr>
    <w:rPr>
      <w:rFonts w:ascii="Times New Roman" w:eastAsia="Times New Roman" w:hAnsi="Times New Roman" w:cs="Times New Roman"/>
      <w:b/>
      <w:bCs/>
      <w:sz w:val="36"/>
      <w:szCs w:val="36"/>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2Char">
    <w:name w:val="Heading 2 Char"/>
    <w:basedOn w:val="DefaultParagraphFont"/>
    <w:link w:val="Heading2"/>
    <w:uiPriority w:val="9"/>
    <w:rsid w:val="00AC1E94"/>
    <w:rPr>
      <w:rFonts w:ascii="Times New Roman" w:eastAsia="Times New Roman" w:hAnsi="Times New Roman" w:cs="Times New Roman"/>
      <w:b/>
      <w:bCs/>
      <w:sz w:val="36"/>
      <w:szCs w:val="36"/>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urevpeptides.com/tesamorelin/" TargetMode="External"/><Relationship Id="rId13" Type="http://schemas.openxmlformats.org/officeDocument/2006/relationships/hyperlink" Target="https://www.nurevpeptides.com/where-to-buy-retatrutide-nurev-peptides-a-complete-purchasing-guide-for-2026/" TargetMode="External"/><Relationship Id="rId3" Type="http://schemas.openxmlformats.org/officeDocument/2006/relationships/settings" Target="settings.xml"/><Relationship Id="rId7" Type="http://schemas.openxmlformats.org/officeDocument/2006/relationships/hyperlink" Target="https://www.nurevpeptides.com/how-peptide-drugs-are-made-a-complete-guide-to-manufacturing-processes/" TargetMode="External"/><Relationship Id="rId12" Type="http://schemas.openxmlformats.org/officeDocument/2006/relationships/hyperlink" Target="https://www.nurevpeptides.com/disclaim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urevpeptides.com/author/vajqgkxytl/" TargetMode="External"/><Relationship Id="rId11" Type="http://schemas.openxmlformats.org/officeDocument/2006/relationships/hyperlink" Target="https://www.nurevpeptides.com/shop/" TargetMode="External"/><Relationship Id="rId5" Type="http://schemas.openxmlformats.org/officeDocument/2006/relationships/hyperlink" Target="https://www.nurevpeptides.com/2026/03/29/" TargetMode="External"/><Relationship Id="rId15" Type="http://schemas.openxmlformats.org/officeDocument/2006/relationships/fontTable" Target="fontTable.xml"/><Relationship Id="rId10" Type="http://schemas.openxmlformats.org/officeDocument/2006/relationships/hyperlink" Target="https://www.nurevpeptides.com/" TargetMode="External"/><Relationship Id="rId4" Type="http://schemas.openxmlformats.org/officeDocument/2006/relationships/webSettings" Target="webSettings.xml"/><Relationship Id="rId9" Type="http://schemas.openxmlformats.org/officeDocument/2006/relationships/hyperlink" Target="https://www.nurevpeptides.com/product/blend-cjc-1295-no-dac-5mg-ipamorelin-5mg/" TargetMode="External"/><Relationship Id="rId14" Type="http://schemas.openxmlformats.org/officeDocument/2006/relationships/hyperlink" Target="https://www.nurevpeptides.com/product/bpc-157-tb-500-blend-10mg-10-mg-wolverine-s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3810</Words>
  <Characters>21721</Characters>
  <Application>Microsoft Office Word</Application>
  <DocSecurity>0</DocSecurity>
  <Lines>181</Lines>
  <Paragraphs>50</Paragraphs>
  <ScaleCrop>false</ScaleCrop>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2026-05-04T07:49:00Z</dcterms:created>
  <dcterms:modified xsi:type="dcterms:W3CDTF">2026-05-04T07:49:00Z</dcterms:modified>
</cp:coreProperties>
</file>