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30DDD" w14:textId="55B787FC" w:rsidR="00BA0D0B" w:rsidRDefault="00A75B66">
      <w:pPr>
        <w:spacing w:after="0" w:line="360" w:lineRule="auto"/>
      </w:pPr>
      <w:r w:rsidRPr="00A75B66">
        <w:t>https://orionpeptides.org/ipamorelin-peptide-dosage-benefits-results/</w:t>
      </w:r>
    </w:p>
    <w:p w14:paraId="1BE7A4D7" w14:textId="77777777" w:rsidR="00BA0D0B" w:rsidRDefault="00000000">
      <w:pPr>
        <w:spacing w:before="157" w:after="157" w:line="270" w:lineRule="auto"/>
      </w:pPr>
      <w:bookmarkStart w:id="0" w:name="read_our_blog_posts"/>
      <w:r>
        <w:rPr>
          <w:rFonts w:eastAsia="Georgia" w:hAnsi="Georgia" w:cs="Georgia"/>
          <w:b/>
          <w:color w:val="000000"/>
          <w:sz w:val="39"/>
        </w:rPr>
        <w:t>Read Our Blog Posts</w:t>
      </w:r>
      <w:bookmarkEnd w:id="0"/>
    </w:p>
    <w:p w14:paraId="20AB7F82" w14:textId="77777777" w:rsidR="00BA0D0B" w:rsidRDefault="00000000">
      <w:pPr>
        <w:spacing w:after="210" w:line="360" w:lineRule="auto"/>
      </w:pPr>
      <w:r>
        <w:rPr>
          <w:rFonts w:eastAsia="Georgia" w:hAnsi="Georgia" w:cs="Georgia"/>
          <w:color w:val="000000"/>
        </w:rPr>
        <w:t>Ipamorelin Peptide 5 mg: Dosage, Benefits &amp; Results (2026 Guide)</w:t>
      </w:r>
      <w:r>
        <w:rPr>
          <w:rFonts w:eastAsia="Georgia" w:hAnsi="Georgia" w:cs="Georgia"/>
          <w:color w:val="000000"/>
        </w:rPr>
        <w:br/>
      </w:r>
      <w:hyperlink r:id="rId5">
        <w:r>
          <w:rPr>
            <w:rFonts w:ascii="Helvetica Neue" w:eastAsia="Helvetica Neue" w:hAnsi="Helvetica Neue" w:cs="Helvetica Neue"/>
            <w:u w:val="single"/>
          </w:rPr>
          <w:t>Ipamorelin</w:t>
        </w:r>
      </w:hyperlink>
      <w:r>
        <w:rPr>
          <w:rFonts w:eastAsia="Georgia" w:hAnsi="Georgia" w:cs="Georgia"/>
          <w:color w:val="000000"/>
        </w:rPr>
        <w:t> is a synthetic pentapeptide (Aib-His-D-2-Nal-D-Phe-Lys-NH₂) that is among the most selective growth hormone secretagogues ever created. It behaves as a ghrelin mimetic, by binding to the specific GHRH receptor (GHS-R1a) on pituitary somatotrophs to trigger pulsatile GH secretion without markedly raising cortisol, ACTH, prolactin, and other stress hormones, unlike non-selective GHRPs like GHRP-6 or hexarelin.</w:t>
      </w:r>
      <w:r>
        <w:rPr>
          <w:rFonts w:eastAsia="Georgia" w:hAnsi="Georgia" w:cs="Georgia"/>
          <w:color w:val="000000"/>
        </w:rPr>
        <w:br/>
        <w:t>Ipamorelin is a potent dose-dependent GH secretagogue that not only stimulates robust production of GH in vivo and in vitro, but it has been shown to hasten gastric emptying in models of postoperative ileus, alter body composition parameters, and support recovery processes, including modulation of gastrointestinal and metabolic parameters 4-7. Short-term behavioral or biochemical assays. The 5 mg vial format will allow you to perform acute dose response curves, pilot protocols, and the aforementioned short-term behavioral or biochemical assays. It is not approved by the FDA for any therapeutic use, and so is solely an investigational research compound.</w:t>
      </w:r>
      <w:r>
        <w:rPr>
          <w:rFonts w:eastAsia="Georgia" w:hAnsi="Georgia" w:cs="Georgia"/>
          <w:color w:val="000000"/>
        </w:rPr>
        <w:br/>
        <w:t>Disclaimer: Ipamorelin is not FDA-approved for human use and is still available only through research studies.</w:t>
      </w:r>
      <w:r>
        <w:rPr>
          <w:rFonts w:eastAsia="Georgia" w:hAnsi="Georgia" w:cs="Georgia"/>
          <w:color w:val="000000"/>
        </w:rPr>
        <w:br/>
        <w:t>Ready to Begin Your Research with Ipamorelin? </w:t>
      </w:r>
      <w:hyperlink r:id="rId6">
        <w:r>
          <w:rPr>
            <w:rFonts w:ascii="Helvetica Neue" w:eastAsia="Helvetica Neue" w:hAnsi="Helvetica Neue" w:cs="Helvetica Neue"/>
            <w:u w:val="single"/>
          </w:rPr>
          <w:t>Order Now</w:t>
        </w:r>
      </w:hyperlink>
      <w:r>
        <w:rPr>
          <w:rFonts w:eastAsia="Georgia" w:hAnsi="Georgia" w:cs="Georgia"/>
          <w:color w:val="000000"/>
        </w:rPr>
        <w:t>!</w:t>
      </w:r>
    </w:p>
    <w:p w14:paraId="6E4768ED" w14:textId="77777777" w:rsidR="00BA0D0B" w:rsidRDefault="00000000">
      <w:pPr>
        <w:spacing w:after="210" w:line="360" w:lineRule="auto"/>
      </w:pPr>
      <w:r>
        <w:rPr>
          <w:rFonts w:eastAsia="Georgia" w:hAnsi="Georgia" w:cs="Georgia"/>
          <w:color w:val="000000"/>
        </w:rPr>
        <w:t>How does Ipamorelin work? What are The Research Studies Describing</w:t>
      </w:r>
      <w:r>
        <w:rPr>
          <w:rFonts w:eastAsia="Georgia" w:hAnsi="Georgia" w:cs="Georgia"/>
          <w:color w:val="000000"/>
        </w:rPr>
        <w:br/>
        <w:t>Ipamorelin is a selective agonist for the growth hormone secretagogue receptor 1a subtype (GHS-R1a) located in the pituitary gland and hypothalamus. This initiates a signaling cascade that elevates intracellular calcium and cAMP, resulting in stimulation of GH exocytosis from somatotroph cells in a pulsatile and physiological manner.</w:t>
      </w:r>
      <w:r>
        <w:rPr>
          <w:rFonts w:eastAsia="Georgia" w:hAnsi="Georgia" w:cs="Georgia"/>
          <w:color w:val="000000"/>
        </w:rPr>
        <w:br/>
        <w:t>Unlike non-selective secretagogues, Ipamorelin has little to no effect on the hypothalamic-pituitary-adrenal axis or ACTH/cortisol release. In rat pituitary cell cultures, SIHY-030 yielded an EC₅₀ of ~1.3 nmol/L for GH release, comparable to GHRP-6 but with greater specificity.</w:t>
      </w:r>
      <w:r>
        <w:rPr>
          <w:rFonts w:eastAsia="Georgia" w:hAnsi="Georgia" w:cs="Georgia"/>
          <w:color w:val="000000"/>
        </w:rPr>
        <w:br/>
        <w:t>When administered intravenously in vivo, Ipamorelin evokes a dose-dependent GH release with an estimated ED₅₀ of 80 nmol/kg in anesthetized rats and 2 nmol/kg in conscious swine without increasing prolactin, TSH, LH, FSH, or cortisol.</w:t>
      </w:r>
      <w:r>
        <w:rPr>
          <w:rFonts w:eastAsia="Georgia" w:hAnsi="Georgia" w:cs="Georgia"/>
          <w:color w:val="000000"/>
        </w:rPr>
        <w:br/>
        <w:t>In models of postoperative ileus (POI), Ipamorelin improves gastric emptying by ~52% versus controls, with mechanisms including the cholinergic excitatory pathway as well as stimulating smooth muscle contractility via GHS-R receptors.</w:t>
      </w:r>
      <w:r>
        <w:rPr>
          <w:rFonts w:eastAsia="Georgia" w:hAnsi="Georgia" w:cs="Georgia"/>
          <w:color w:val="000000"/>
        </w:rPr>
        <w:br/>
        <w:t>These properties make Ipamorelin an ideal drug to investigate selective GH pulsatility, gastrointestinal motility, and neuroendocrine reward circuits in controlled laboratory settings.</w:t>
      </w:r>
      <w:r>
        <w:rPr>
          <w:rFonts w:eastAsia="Georgia" w:hAnsi="Georgia" w:cs="Georgia"/>
          <w:color w:val="000000"/>
        </w:rPr>
        <w:br/>
      </w:r>
      <w:r>
        <w:rPr>
          <w:rFonts w:eastAsia="Georgia" w:hAnsi="Georgia" w:cs="Georgia"/>
          <w:color w:val="000000"/>
        </w:rPr>
        <w:lastRenderedPageBreak/>
        <w:t>Ipamorelin Benefits (Backed by Research)</w:t>
      </w:r>
      <w:r>
        <w:rPr>
          <w:rFonts w:eastAsia="Georgia" w:hAnsi="Georgia" w:cs="Georgia"/>
          <w:color w:val="000000"/>
        </w:rPr>
        <w:br/>
        <w:t>Ipamorelin has been studied in other preclinical research settings. Key observations from studies include:</w:t>
      </w:r>
    </w:p>
    <w:p w14:paraId="44914FF9" w14:textId="77777777" w:rsidR="00BA0D0B" w:rsidRDefault="00000000">
      <w:pPr>
        <w:numPr>
          <w:ilvl w:val="0"/>
          <w:numId w:val="1"/>
        </w:numPr>
        <w:spacing w:before="105" w:after="105" w:line="360" w:lineRule="auto"/>
      </w:pPr>
      <w:r>
        <w:rPr>
          <w:rFonts w:eastAsia="Georgia" w:hAnsi="Georgia" w:cs="Georgia"/>
          <w:color w:val="000000"/>
        </w:rPr>
        <w:t>GHR (Growth Hormone Releasing) Agonists</w:t>
      </w:r>
      <w:r>
        <w:rPr>
          <w:rFonts w:eastAsia="Georgia" w:hAnsi="Georgia" w:cs="Georgia"/>
          <w:color w:val="000000"/>
        </w:rPr>
        <w:br/>
        <w:t>Ipamorelin produces potent, dose-dependent GH secretion from pituitary cells and in whole animals with minimal off-target hormonal effects shown in vitro and in vivo models. Unlike the non-selective agents, it better preserves natural pulsatile GH patterns.</w:t>
      </w:r>
    </w:p>
    <w:p w14:paraId="15B5D14F" w14:textId="77777777" w:rsidR="00BA0D0B" w:rsidRDefault="00000000">
      <w:pPr>
        <w:numPr>
          <w:ilvl w:val="0"/>
          <w:numId w:val="1"/>
        </w:numPr>
        <w:spacing w:before="105" w:after="105" w:line="360" w:lineRule="auto"/>
      </w:pPr>
      <w:r>
        <w:rPr>
          <w:rFonts w:eastAsia="Georgia" w:hAnsi="Georgia" w:cs="Georgia"/>
          <w:color w:val="000000"/>
        </w:rPr>
        <w:t>Accelerates Gastric Motility and Emptying of the Stomach in POI Models</w:t>
      </w:r>
      <w:r>
        <w:rPr>
          <w:rFonts w:eastAsia="Georgia" w:hAnsi="Georgia" w:cs="Georgia"/>
          <w:color w:val="000000"/>
        </w:rPr>
        <w:br/>
        <w:t>Ipamorelin has been demonstrated to reverse the inhibitory effects of surgery on gastric contractility and accelerate gastric emptying in rodent postoperative ileus studies, through GHS-R-mediated cholinergic pathways, including increased acetylcholine release.</w:t>
      </w:r>
    </w:p>
    <w:p w14:paraId="7B2B92F8" w14:textId="77777777" w:rsidR="00BA0D0B" w:rsidRDefault="00000000">
      <w:pPr>
        <w:numPr>
          <w:ilvl w:val="0"/>
          <w:numId w:val="1"/>
        </w:numPr>
        <w:spacing w:before="105" w:after="105" w:line="360" w:lineRule="auto"/>
      </w:pPr>
      <w:r>
        <w:rPr>
          <w:rFonts w:eastAsia="Georgia" w:hAnsi="Georgia" w:cs="Georgia"/>
          <w:color w:val="000000"/>
        </w:rPr>
        <w:t>Affect Body Composition and Metabolic Markers</w:t>
      </w:r>
      <w:r>
        <w:rPr>
          <w:rFonts w:eastAsia="Georgia" w:hAnsi="Georgia" w:cs="Georgia"/>
          <w:color w:val="000000"/>
        </w:rPr>
        <w:br/>
        <w:t>Ipamorelin appears to benefit adiposity and lean mass, in addition to metabolic signaling, as shown in animal models of aging or hormonal imbalance. This occurs likely through both a sustained elevation in gH as well as improved signaling pathways enhancing protein synthesis.</w:t>
      </w:r>
    </w:p>
    <w:p w14:paraId="51B23B0A" w14:textId="77777777" w:rsidR="00BA0D0B" w:rsidRDefault="00000000">
      <w:pPr>
        <w:numPr>
          <w:ilvl w:val="0"/>
          <w:numId w:val="1"/>
        </w:numPr>
        <w:spacing w:before="105" w:after="105" w:line="360" w:lineRule="auto"/>
      </w:pPr>
      <w:r>
        <w:rPr>
          <w:rFonts w:eastAsia="Georgia" w:hAnsi="Georgia" w:cs="Georgia"/>
          <w:color w:val="000000"/>
        </w:rPr>
        <w:t>Provides Recovery in Models of Gastrointestinal Dysmotility</w:t>
      </w:r>
      <w:r>
        <w:rPr>
          <w:rFonts w:eastAsia="Georgia" w:hAnsi="Georgia" w:cs="Georgia"/>
          <w:color w:val="000000"/>
        </w:rPr>
        <w:br/>
        <w:t>We conclude that ipamorelin restores EFS responses and increases smooth muscle contractility in isolated gastric fundus preparations from surgically stressed animals, indicating a potential utility for investigating mechanisms of postoperative recovery.</w:t>
      </w:r>
    </w:p>
    <w:p w14:paraId="3D8FCDB8" w14:textId="77777777" w:rsidR="00BA0D0B" w:rsidRDefault="00000000">
      <w:pPr>
        <w:numPr>
          <w:ilvl w:val="0"/>
          <w:numId w:val="1"/>
        </w:numPr>
        <w:spacing w:before="105" w:after="105" w:line="360" w:lineRule="auto"/>
      </w:pPr>
      <w:r>
        <w:rPr>
          <w:rFonts w:eastAsia="Georgia" w:hAnsi="Georgia" w:cs="Georgia"/>
          <w:color w:val="000000"/>
        </w:rPr>
        <w:t>Maintains High Selectivity and Tolerability Profile</w:t>
      </w:r>
      <w:r>
        <w:rPr>
          <w:rFonts w:eastAsia="Georgia" w:hAnsi="Georgia" w:cs="Georgia"/>
          <w:color w:val="000000"/>
        </w:rPr>
        <w:br/>
        <w:t>Unlike GHRP-6, Ipamorelin has a very slight pharmacological elevation of cortisol, ACTH or prolactin and therefore is suitable for laboratory research studies wherein clean GH stimulation is desired without activation of the stress axis.</w:t>
      </w:r>
      <w:r>
        <w:rPr>
          <w:rFonts w:eastAsia="Georgia" w:hAnsi="Georgia" w:cs="Georgia"/>
          <w:color w:val="000000"/>
        </w:rPr>
        <w:br/>
        <w:t>Note: All these benefits are based on research studies or animal models. Ipamorelin is not FDA-approved for human consumption.</w:t>
      </w:r>
      <w:r>
        <w:rPr>
          <w:rFonts w:eastAsia="Georgia" w:hAnsi="Georgia" w:cs="Georgia"/>
          <w:color w:val="000000"/>
        </w:rPr>
        <w:br/>
        <w:t>Dosage Information for Ipamorelin 5 mg: In Research Environment</w:t>
      </w:r>
      <w:r>
        <w:rPr>
          <w:rFonts w:eastAsia="Georgia" w:hAnsi="Georgia" w:cs="Georgia"/>
          <w:color w:val="000000"/>
        </w:rPr>
        <w:br/>
        <w:t>Ipamorelin is most commonly available in lyophilized powder as a lab sample (5 mg vials) of which is reconstituted for use. So, low microgram doses are used in studies to preferentially activate certain GHS-R1a pathways and avoid non-specific actions.</w:t>
      </w:r>
    </w:p>
    <w:p w14:paraId="50D3D293" w14:textId="77777777" w:rsidR="00BA0D0B" w:rsidRDefault="00000000">
      <w:pPr>
        <w:numPr>
          <w:ilvl w:val="0"/>
          <w:numId w:val="1"/>
        </w:numPr>
        <w:spacing w:before="105" w:after="105" w:line="360" w:lineRule="auto"/>
      </w:pPr>
      <w:r>
        <w:rPr>
          <w:rFonts w:eastAsia="Georgia" w:hAnsi="Georgia" w:cs="Georgia"/>
          <w:color w:val="000000"/>
        </w:rPr>
        <w:t>Standard Quantitative Range</w:t>
      </w:r>
      <w:r>
        <w:rPr>
          <w:rFonts w:eastAsia="Georgia" w:hAnsi="Georgia" w:cs="Georgia"/>
          <w:color w:val="000000"/>
        </w:rPr>
        <w:br/>
        <w:t>Effective doses in rodent models: 50–200 μg/kg (subcutaneous or intravenous)</w:t>
      </w:r>
      <w:r>
        <w:rPr>
          <w:rFonts w:eastAsia="Georgia" w:hAnsi="Georgia" w:cs="Georgia"/>
          <w:color w:val="000000"/>
        </w:rPr>
        <w:br/>
        <w:t>80–150/kg per administration – Common research range</w:t>
      </w:r>
      <w:r>
        <w:rPr>
          <w:rFonts w:eastAsia="Georgia" w:hAnsi="Georgia" w:cs="Georgia"/>
          <w:color w:val="000000"/>
        </w:rPr>
        <w:br/>
        <w:t>Goals: Effective GH pulses and motility effects, prevent desensitization</w:t>
      </w:r>
    </w:p>
    <w:p w14:paraId="69423D39" w14:textId="77777777" w:rsidR="00BA0D0B" w:rsidRDefault="00000000">
      <w:pPr>
        <w:numPr>
          <w:ilvl w:val="0"/>
          <w:numId w:val="1"/>
        </w:numPr>
        <w:spacing w:before="105" w:after="105" w:line="360" w:lineRule="auto"/>
      </w:pPr>
      <w:r>
        <w:rPr>
          <w:rFonts w:eastAsia="Georgia" w:hAnsi="Georgia" w:cs="Georgia"/>
          <w:color w:val="000000"/>
        </w:rPr>
        <w:lastRenderedPageBreak/>
        <w:t>Initial Calibration (Baseline Phase)</w:t>
      </w:r>
      <w:r>
        <w:rPr>
          <w:rFonts w:eastAsia="Georgia" w:hAnsi="Georgia" w:cs="Georgia"/>
          <w:color w:val="000000"/>
        </w:rPr>
        <w:br/>
        <w:t>First dose: Lower end (i.e., 50–100 μg/kg)</w:t>
      </w:r>
      <w:r>
        <w:rPr>
          <w:rFonts w:eastAsia="Georgia" w:hAnsi="Georgia" w:cs="Georgia"/>
          <w:color w:val="000000"/>
        </w:rPr>
        <w:br/>
        <w:t>Frequency t: A single acute exposure after low-dose chronic exposure</w:t>
      </w:r>
      <w:r>
        <w:rPr>
          <w:rFonts w:eastAsia="Georgia" w:hAnsi="Georgia" w:cs="Georgia"/>
          <w:color w:val="000000"/>
        </w:rPr>
        <w:br/>
        <w:t>Rationale: Dose-response curve of GH secretion or motility endpoints and acute receptor activation</w:t>
      </w:r>
    </w:p>
    <w:p w14:paraId="2D339C29" w14:textId="77777777" w:rsidR="00BA0D0B" w:rsidRDefault="00000000">
      <w:pPr>
        <w:numPr>
          <w:ilvl w:val="0"/>
          <w:numId w:val="1"/>
        </w:numPr>
        <w:spacing w:before="105" w:after="105" w:line="360" w:lineRule="auto"/>
      </w:pPr>
      <w:r>
        <w:rPr>
          <w:rFonts w:eastAsia="Georgia" w:hAnsi="Georgia" w:cs="Georgia"/>
          <w:color w:val="000000"/>
        </w:rPr>
        <w:t>Maintenance and Longitudinal Observation</w:t>
      </w:r>
      <w:r>
        <w:rPr>
          <w:rFonts w:eastAsia="Georgia" w:hAnsi="Georgia" w:cs="Georgia"/>
          <w:color w:val="000000"/>
        </w:rPr>
        <w:br/>
        <w:t>Target: 100–180 μg/kg per day or every other day</w:t>
      </w:r>
      <w:r>
        <w:rPr>
          <w:rFonts w:eastAsia="Georgia" w:hAnsi="Georgia" w:cs="Georgia"/>
          <w:color w:val="000000"/>
        </w:rPr>
        <w:br/>
        <w:t>Treatment schedule: 5–14 days in chronic models, acute or repeated dosing for behavioral/motility studies</w:t>
      </w:r>
      <w:r>
        <w:rPr>
          <w:rFonts w:eastAsia="Georgia" w:hAnsi="Georgia" w:cs="Georgia"/>
          <w:color w:val="000000"/>
        </w:rPr>
        <w:br/>
        <w:t>Rationale: Continue GHS-R signaling and examine the cumulative effects of altered GH dynamics, gastric emptying, and metabolic markers</w:t>
      </w:r>
      <w:r>
        <w:rPr>
          <w:rFonts w:eastAsia="Georgia" w:hAnsi="Georgia" w:cs="Georgia"/>
          <w:color w:val="000000"/>
        </w:rPr>
        <w:br/>
        <w:t>How to effectively compound Ipamorelin 5 mg for your research application.</w:t>
      </w:r>
      <w:r>
        <w:rPr>
          <w:rFonts w:eastAsia="Georgia" w:hAnsi="Georgia" w:cs="Georgia"/>
          <w:color w:val="000000"/>
        </w:rPr>
        <w:br/>
        <w:t>This method ensures that the stability of the peptide remains intact as one properly reconstitutes it.</w:t>
      </w:r>
      <w:r>
        <w:rPr>
          <w:rFonts w:eastAsia="Georgia" w:hAnsi="Georgia" w:cs="Georgia"/>
          <w:color w:val="000000"/>
        </w:rPr>
        <w:br/>
        <w:t>Supplies Needed Before Mixing</w:t>
      </w:r>
      <w:r>
        <w:rPr>
          <w:rFonts w:eastAsia="Georgia" w:hAnsi="Georgia" w:cs="Georgia"/>
          <w:color w:val="000000"/>
        </w:rPr>
        <w:br/>
        <w:t>Peptide Ipamorelin, 5mg vial</w:t>
      </w:r>
      <w:r>
        <w:rPr>
          <w:rFonts w:eastAsia="Georgia" w:hAnsi="Georgia" w:cs="Georgia"/>
          <w:color w:val="000000"/>
        </w:rPr>
        <w:br/>
        <w:t>Bacteriostatic water</w:t>
      </w:r>
      <w:r>
        <w:rPr>
          <w:rFonts w:eastAsia="Georgia" w:hAnsi="Georgia" w:cs="Georgia"/>
          <w:color w:val="000000"/>
        </w:rPr>
        <w:br/>
        <w:t>Alcohol swabs</w:t>
      </w:r>
      <w:r>
        <w:rPr>
          <w:rFonts w:eastAsia="Georgia" w:hAnsi="Georgia" w:cs="Georgia"/>
          <w:color w:val="000000"/>
        </w:rPr>
        <w:br/>
        <w:t>Insulin syringe</w:t>
      </w:r>
      <w:r>
        <w:rPr>
          <w:rFonts w:eastAsia="Georgia" w:hAnsi="Georgia" w:cs="Georgia"/>
          <w:color w:val="000000"/>
        </w:rPr>
        <w:br/>
        <w:t>Clean and sanitized surface</w:t>
      </w:r>
      <w:r>
        <w:rPr>
          <w:rFonts w:eastAsia="Georgia" w:hAnsi="Georgia" w:cs="Georgia"/>
          <w:color w:val="000000"/>
        </w:rPr>
        <w:br/>
        <w:t>Step-by-Step Reconstitution Process</w:t>
      </w:r>
    </w:p>
    <w:p w14:paraId="2FFA8C50" w14:textId="77777777" w:rsidR="00BA0D0B" w:rsidRDefault="00000000">
      <w:pPr>
        <w:numPr>
          <w:ilvl w:val="0"/>
          <w:numId w:val="1"/>
        </w:numPr>
        <w:spacing w:before="105" w:after="105" w:line="360" w:lineRule="auto"/>
      </w:pPr>
      <w:r>
        <w:rPr>
          <w:rFonts w:eastAsia="Georgia" w:hAnsi="Georgia" w:cs="Georgia"/>
          <w:color w:val="000000"/>
        </w:rPr>
        <w:t>Clean the tops of vials with alcohol swabs.</w:t>
      </w:r>
    </w:p>
    <w:p w14:paraId="39E5B47A" w14:textId="77777777" w:rsidR="00BA0D0B" w:rsidRDefault="00000000">
      <w:pPr>
        <w:numPr>
          <w:ilvl w:val="0"/>
          <w:numId w:val="1"/>
        </w:numPr>
        <w:spacing w:before="105" w:after="105" w:line="360" w:lineRule="auto"/>
      </w:pPr>
      <w:r>
        <w:rPr>
          <w:rFonts w:eastAsia="Georgia" w:hAnsi="Georgia" w:cs="Georgia"/>
          <w:color w:val="000000"/>
        </w:rPr>
        <w:t>Vial solution reconstitution Step 1: Draw the desired volume of bacteriostatic water into the syringe (generally only 1-2 mL for a 5 mg vial).</w:t>
      </w:r>
    </w:p>
    <w:p w14:paraId="3C4976E0" w14:textId="77777777" w:rsidR="00BA0D0B" w:rsidRDefault="00000000">
      <w:pPr>
        <w:numPr>
          <w:ilvl w:val="0"/>
          <w:numId w:val="1"/>
        </w:numPr>
        <w:spacing w:before="105" w:after="105" w:line="360" w:lineRule="auto"/>
      </w:pPr>
      <w:r>
        <w:rPr>
          <w:rFonts w:eastAsia="Georgia" w:hAnsi="Georgia" w:cs="Georgia"/>
          <w:color w:val="000000"/>
        </w:rPr>
        <w:t>Add water slowly along the wall of the vial to avoid foaming.</w:t>
      </w:r>
    </w:p>
    <w:p w14:paraId="69623EF2" w14:textId="77777777" w:rsidR="00BA0D0B" w:rsidRDefault="00000000">
      <w:pPr>
        <w:numPr>
          <w:ilvl w:val="0"/>
          <w:numId w:val="1"/>
        </w:numPr>
        <w:spacing w:before="105" w:after="105" w:line="360" w:lineRule="auto"/>
      </w:pPr>
      <w:r>
        <w:rPr>
          <w:rFonts w:eastAsia="Georgia" w:hAnsi="Georgia" w:cs="Georgia"/>
          <w:color w:val="000000"/>
        </w:rPr>
        <w:t>Gently swirl (do not shake) until dissolved, and the solution is clear.</w:t>
      </w:r>
    </w:p>
    <w:p w14:paraId="7915C65E" w14:textId="77777777" w:rsidR="00BA0D0B" w:rsidRDefault="00000000">
      <w:pPr>
        <w:numPr>
          <w:ilvl w:val="0"/>
          <w:numId w:val="1"/>
        </w:numPr>
        <w:spacing w:before="105" w:after="105" w:line="360" w:lineRule="auto"/>
      </w:pPr>
      <w:r>
        <w:rPr>
          <w:rFonts w:eastAsia="Georgia" w:hAnsi="Georgia" w:cs="Georgia"/>
          <w:color w:val="000000"/>
        </w:rPr>
        <w:t>Store the vial that has been reconstituted at 2–8°C and protect from light.</w:t>
      </w:r>
      <w:r>
        <w:rPr>
          <w:rFonts w:eastAsia="Georgia" w:hAnsi="Georgia" w:cs="Georgia"/>
          <w:color w:val="000000"/>
        </w:rPr>
        <w:br/>
        <w:t>When to Expect Results From Ipamorelin</w:t>
      </w:r>
      <w:r>
        <w:rPr>
          <w:rFonts w:eastAsia="Georgia" w:hAnsi="Georgia" w:cs="Georgia"/>
          <w:color w:val="000000"/>
        </w:rPr>
        <w:br/>
        <w:t>Research timelines differ by model, route, dose, and endpoint. In a good sense, effects come very quickly because of direct GHS-R1a agonism.</w:t>
      </w:r>
      <w:r>
        <w:rPr>
          <w:rFonts w:eastAsia="Georgia" w:hAnsi="Georgia" w:cs="Georgia"/>
          <w:color w:val="000000"/>
        </w:rPr>
        <w:br/>
        <w:t>Phase 1: Initial Response (1-7 Days)</w:t>
      </w:r>
      <w:r>
        <w:rPr>
          <w:rFonts w:eastAsia="Georgia" w:hAnsi="Georgia" w:cs="Georgia"/>
          <w:color w:val="000000"/>
        </w:rPr>
        <w:br/>
        <w:t>Induction of a pulse of acute GH and high plasma GH levels</w:t>
      </w:r>
      <w:r>
        <w:rPr>
          <w:rFonts w:eastAsia="Georgia" w:hAnsi="Georgia" w:cs="Georgia"/>
          <w:color w:val="000000"/>
        </w:rPr>
        <w:br/>
        <w:t>Apparent increase in mucosa contractility and motility markers</w:t>
      </w:r>
      <w:r>
        <w:rPr>
          <w:rFonts w:eastAsia="Georgia" w:hAnsi="Georgia" w:cs="Georgia"/>
          <w:color w:val="000000"/>
        </w:rPr>
        <w:br/>
        <w:t>Early alterations in dopamine release and reward-circuit activation</w:t>
      </w:r>
      <w:r>
        <w:rPr>
          <w:rFonts w:eastAsia="Georgia" w:hAnsi="Georgia" w:cs="Georgia"/>
          <w:color w:val="000000"/>
        </w:rPr>
        <w:br/>
        <w:t>Phase 2: Building up a Structure — 1–3 Weeks</w:t>
      </w:r>
      <w:r>
        <w:rPr>
          <w:rFonts w:eastAsia="Georgia" w:hAnsi="Georgia" w:cs="Georgia"/>
          <w:color w:val="000000"/>
        </w:rPr>
        <w:br/>
      </w:r>
      <w:r>
        <w:rPr>
          <w:rFonts w:eastAsia="Georgia" w:hAnsi="Georgia" w:cs="Georgia"/>
          <w:color w:val="000000"/>
        </w:rPr>
        <w:lastRenderedPageBreak/>
        <w:t>In this model, a sustained selective GH secretion with repeated dosing</w:t>
      </w:r>
      <w:r>
        <w:rPr>
          <w:rFonts w:eastAsia="Georgia" w:hAnsi="Georgia" w:cs="Georgia"/>
          <w:color w:val="000000"/>
        </w:rPr>
        <w:br/>
        <w:t>Restoration of gastric emptying and multi-smooth muscle responses in motility models</w:t>
      </w:r>
      <w:r>
        <w:rPr>
          <w:rFonts w:eastAsia="Georgia" w:hAnsi="Georgia" w:cs="Georgia"/>
          <w:color w:val="000000"/>
        </w:rPr>
        <w:br/>
        <w:t>Multi-level modulation of metabolic and neuroendocrine signaling</w:t>
      </w:r>
      <w:r>
        <w:rPr>
          <w:rFonts w:eastAsia="Georgia" w:hAnsi="Georgia" w:cs="Georgia"/>
          <w:color w:val="000000"/>
        </w:rPr>
        <w:br/>
        <w:t>Phase 3: Maturation and Optimization (4–8 Weeks)</w:t>
      </w:r>
      <w:r>
        <w:rPr>
          <w:rFonts w:eastAsia="Georgia" w:hAnsi="Georgia" w:cs="Georgia"/>
          <w:color w:val="000000"/>
        </w:rPr>
        <w:br/>
        <w:t>Chronic studies of GH pulsatility &amp; body composition effects</w:t>
      </w:r>
      <w:r>
        <w:rPr>
          <w:rFonts w:eastAsia="Georgia" w:hAnsi="Georgia" w:cs="Georgia"/>
          <w:color w:val="000000"/>
        </w:rPr>
        <w:br/>
        <w:t>Reestablishment of motility and contractility in postoperative models</w:t>
      </w:r>
      <w:r>
        <w:rPr>
          <w:rFonts w:eastAsia="Georgia" w:hAnsi="Georgia" w:cs="Georgia"/>
          <w:color w:val="000000"/>
        </w:rPr>
        <w:br/>
        <w:t>Motivational and reward pathways mediated by maximal GHS-R activation</w:t>
      </w:r>
      <w:r>
        <w:rPr>
          <w:rFonts w:eastAsia="Georgia" w:hAnsi="Georgia" w:cs="Georgia"/>
          <w:color w:val="000000"/>
        </w:rPr>
        <w:br/>
        <w:t>Phase 4: Longitudinal Maintenance and Stability</w:t>
      </w:r>
      <w:r>
        <w:rPr>
          <w:rFonts w:eastAsia="Georgia" w:hAnsi="Georgia" w:cs="Georgia"/>
          <w:color w:val="000000"/>
        </w:rPr>
        <w:br/>
        <w:t>Ongoing pathway support with stable dosing</w:t>
      </w:r>
      <w:r>
        <w:rPr>
          <w:rFonts w:eastAsia="Georgia" w:hAnsi="Georgia" w:cs="Georgia"/>
          <w:color w:val="000000"/>
        </w:rPr>
        <w:br/>
        <w:t>In some models, the prevention of regression upon withdrawal </w:t>
      </w:r>
      <w:r>
        <w:rPr>
          <w:rFonts w:eastAsia="Georgia" w:hAnsi="Georgia" w:cs="Georgia"/>
          <w:color w:val="000000"/>
        </w:rPr>
        <w:br/>
        <w:t>Alteration of GH dynamics and GI function in the long-run</w:t>
      </w:r>
      <w:r>
        <w:rPr>
          <w:rFonts w:eastAsia="Georgia" w:hAnsi="Georgia" w:cs="Georgia"/>
          <w:color w:val="000000"/>
        </w:rPr>
        <w:br/>
        <w:t> Referenced Studies</w:t>
      </w:r>
      <w:r>
        <w:rPr>
          <w:rFonts w:eastAsia="Georgia" w:hAnsi="Georgia" w:cs="Georgia"/>
          <w:color w:val="000000"/>
        </w:rPr>
        <w:br/>
        <w:t>1. </w:t>
      </w:r>
      <w:hyperlink r:id="rId7">
        <w:r>
          <w:rPr>
            <w:rFonts w:ascii="Helvetica Neue" w:eastAsia="Helvetica Neue" w:hAnsi="Helvetica Neue" w:cs="Helvetica Neue"/>
            <w:u w:val="single"/>
          </w:rPr>
          <w:t>https://pubmed.ncbi.nlm.nih.gov/9849822/  </w:t>
        </w:r>
      </w:hyperlink>
      <w:r>
        <w:rPr>
          <w:rFonts w:eastAsia="Georgia" w:hAnsi="Georgia" w:cs="Georgia"/>
          <w:color w:val="000000"/>
        </w:rPr>
        <w:br/>
        <w:t>2. </w:t>
      </w:r>
      <w:hyperlink r:id="rId8">
        <w:r>
          <w:rPr>
            <w:rFonts w:ascii="Helvetica Neue" w:eastAsia="Helvetica Neue" w:hAnsi="Helvetica Neue" w:cs="Helvetica Neue"/>
            <w:u w:val="single"/>
          </w:rPr>
          <w:t>https://pmc.ncbi.nlm.nih.gov/articles/PMC4863553/  </w:t>
        </w:r>
      </w:hyperlink>
      <w:r>
        <w:rPr>
          <w:rFonts w:eastAsia="Georgia" w:hAnsi="Georgia" w:cs="Georgia"/>
          <w:color w:val="000000"/>
        </w:rPr>
        <w:br/>
        <w:t>3. </w:t>
      </w:r>
      <w:hyperlink r:id="rId9">
        <w:r>
          <w:rPr>
            <w:rFonts w:ascii="Helvetica Neue" w:eastAsia="Helvetica Neue" w:hAnsi="Helvetica Neue" w:cs="Helvetica Neue"/>
            <w:u w:val="single"/>
          </w:rPr>
          <w:t>https://clinicaltrials.gov/study/NCT01280344  </w:t>
        </w:r>
      </w:hyperlink>
      <w:r>
        <w:rPr>
          <w:rFonts w:eastAsia="Georgia" w:hAnsi="Georgia" w:cs="Georgia"/>
          <w:color w:val="000000"/>
        </w:rPr>
        <w:br/>
        <w:t>4. </w:t>
      </w:r>
      <w:hyperlink r:id="rId10">
        <w:r>
          <w:rPr>
            <w:rFonts w:ascii="Helvetica Neue" w:eastAsia="Helvetica Neue" w:hAnsi="Helvetica Neue" w:cs="Helvetica Neue"/>
            <w:u w:val="single"/>
          </w:rPr>
          <w:t>https://pubmed.ncbi.nlm.nih.gov/20141583/</w:t>
        </w:r>
      </w:hyperlink>
      <w:r>
        <w:rPr>
          <w:rFonts w:eastAsia="Georgia" w:hAnsi="Georgia" w:cs="Georgia"/>
          <w:color w:val="000000"/>
        </w:rPr>
        <w:t>  </w:t>
      </w:r>
      <w:r>
        <w:rPr>
          <w:rFonts w:eastAsia="Georgia" w:hAnsi="Georgia" w:cs="Georgia"/>
          <w:color w:val="000000"/>
        </w:rPr>
        <w:br/>
        <w:t>5. </w:t>
      </w:r>
      <w:hyperlink r:id="rId11">
        <w:r>
          <w:rPr>
            <w:rFonts w:ascii="Helvetica Neue" w:eastAsia="Helvetica Neue" w:hAnsi="Helvetica Neue" w:cs="Helvetica Neue"/>
            <w:u w:val="single"/>
          </w:rPr>
          <w:t>https://pmc.ncbi.nlm.nih.gov/articles/PMC7108996/</w:t>
        </w:r>
      </w:hyperlink>
    </w:p>
    <w:p w14:paraId="5367F909" w14:textId="77777777" w:rsidR="00BA0D0B" w:rsidRDefault="00000000">
      <w:pPr>
        <w:spacing w:after="210" w:line="360" w:lineRule="auto"/>
      </w:pPr>
      <w:r>
        <w:rPr>
          <w:rFonts w:eastAsia="Georgia" w:hAnsi="Georgia" w:cs="Georgia"/>
          <w:color w:val="000000"/>
        </w:rPr>
        <w:t>Here’s a cleaned, more accurate, and blog-ready version of your Ipamorelin article. The strongest evidence you can safely emphasize is that ipamorelin is a selective growth hormone secretagogue studied for pulsatile GH release and gastrointestinal motility, with both preclinical and limited clinical data in postoperative ileus.</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 w:name="fnref3"/>
      <w:bookmarkEnd w:id="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4" w:name="fnref4"/>
      <w:bookmarkEnd w:id="4"/>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56C9B5E5" w14:textId="77777777" w:rsidR="00BA0D0B" w:rsidRDefault="00000000">
      <w:pPr>
        <w:spacing w:before="315" w:after="105" w:line="360" w:lineRule="auto"/>
        <w:ind w:left="-30"/>
      </w:pPr>
      <w:bookmarkStart w:id="5" w:name="ipamorelin_5_mg"/>
      <w:r>
        <w:rPr>
          <w:rFonts w:eastAsia="Georgia" w:hAnsi="Georgia" w:cs="Georgia"/>
          <w:b/>
          <w:color w:val="000000"/>
          <w:sz w:val="24"/>
        </w:rPr>
        <w:t>Ipamorelin 5 mg</w:t>
      </w:r>
      <w:bookmarkEnd w:id="5"/>
    </w:p>
    <w:p w14:paraId="1353F40D" w14:textId="77777777" w:rsidR="00BA0D0B" w:rsidRDefault="00000000">
      <w:pPr>
        <w:spacing w:after="210" w:line="360" w:lineRule="auto"/>
      </w:pPr>
      <w:r>
        <w:rPr>
          <w:rFonts w:eastAsia="Georgia" w:hAnsi="Georgia" w:cs="Georgia"/>
          <w:color w:val="000000"/>
        </w:rPr>
        <w:t>Ipamorelin is a synthetic pentapeptide studied as a selective growth hormone secretagogue, meaning it activates the GHRP-like receptor GHS-R1a to stimulate GH release. In research models, it is known for producing GH secretion with relatively little effect on cortisol, prolactin, or ACTH compared with less selective secretagogues. Because of that selectivity, it is often used in studies of GH pulsatility and gastrointestinal motility rather than broad endocrine stimulation.</w:t>
      </w:r>
      <w:bookmarkStart w:id="6" w:name="fnref2_1"/>
      <w:bookmarkEnd w:id="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7" w:name="fnref1_1"/>
      <w:bookmarkEnd w:id="7"/>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6C652BE" w14:textId="77777777" w:rsidR="00BA0D0B" w:rsidRDefault="00000000">
      <w:pPr>
        <w:spacing w:before="315" w:after="105" w:line="360" w:lineRule="auto"/>
        <w:ind w:left="-30"/>
      </w:pPr>
      <w:bookmarkStart w:id="8" w:name="research_disclaimer"/>
      <w:r>
        <w:rPr>
          <w:rFonts w:eastAsia="Georgia" w:hAnsi="Georgia" w:cs="Georgia"/>
          <w:b/>
          <w:color w:val="000000"/>
          <w:sz w:val="24"/>
        </w:rPr>
        <w:t>Research disclaimer</w:t>
      </w:r>
      <w:bookmarkEnd w:id="8"/>
    </w:p>
    <w:p w14:paraId="51610975" w14:textId="77777777" w:rsidR="00BA0D0B" w:rsidRDefault="00000000">
      <w:pPr>
        <w:spacing w:after="210" w:line="360" w:lineRule="auto"/>
      </w:pPr>
      <w:r>
        <w:rPr>
          <w:rFonts w:eastAsia="Georgia" w:hAnsi="Georgia" w:cs="Georgia"/>
          <w:color w:val="000000"/>
        </w:rPr>
        <w:t xml:space="preserve">Your disclaimer should be stronger and simpler. Ipamorelin should be described as a </w:t>
      </w:r>
      <w:r>
        <w:rPr>
          <w:rFonts w:eastAsia="Georgia" w:hAnsi="Georgia" w:cs="Georgia"/>
          <w:b/>
          <w:color w:val="000000"/>
        </w:rPr>
        <w:t>research-use only</w:t>
      </w:r>
      <w:r>
        <w:rPr>
          <w:rFonts w:eastAsia="Georgia" w:hAnsi="Georgia" w:cs="Georgia"/>
          <w:color w:val="000000"/>
        </w:rPr>
        <w:t xml:space="preserve"> compound, not FDA-approved for human use or treatment. It is better to avoid wording that implies dosing advice for people, because the evidence base is primarily preclinical, with some clinical work in postoperative ileus rather than general wellness or bodybuilding use.</w:t>
      </w:r>
      <w:bookmarkStart w:id="9" w:name="fnref3_1"/>
      <w:bookmarkEnd w:id="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10" w:name="fnref4_1"/>
      <w:bookmarkEnd w:id="10"/>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12B49D75" w14:textId="77777777" w:rsidR="00BA0D0B" w:rsidRDefault="00000000">
      <w:pPr>
        <w:spacing w:before="315" w:after="105" w:line="360" w:lineRule="auto"/>
        <w:ind w:left="-30"/>
      </w:pPr>
      <w:bookmarkStart w:id="11" w:name="how_it_works"/>
      <w:r>
        <w:rPr>
          <w:rFonts w:eastAsia="Georgia" w:hAnsi="Georgia" w:cs="Georgia"/>
          <w:b/>
          <w:color w:val="000000"/>
          <w:sz w:val="24"/>
        </w:rPr>
        <w:lastRenderedPageBreak/>
        <w:t>How it works</w:t>
      </w:r>
      <w:bookmarkEnd w:id="11"/>
    </w:p>
    <w:p w14:paraId="36093DB6" w14:textId="77777777" w:rsidR="00BA0D0B" w:rsidRDefault="00000000">
      <w:pPr>
        <w:spacing w:after="210" w:line="360" w:lineRule="auto"/>
      </w:pPr>
      <w:r>
        <w:rPr>
          <w:rFonts w:eastAsia="Georgia" w:hAnsi="Georgia" w:cs="Georgia"/>
          <w:color w:val="000000"/>
        </w:rPr>
        <w:t xml:space="preserve">The mechanism section is largely correct, but one phrase needs correction: ipamorelin binds the </w:t>
      </w:r>
      <w:r>
        <w:rPr>
          <w:rFonts w:eastAsia="Georgia" w:hAnsi="Georgia" w:cs="Georgia"/>
          <w:b/>
          <w:color w:val="000000"/>
        </w:rPr>
        <w:t>GHS-R1a receptor</w:t>
      </w:r>
      <w:r>
        <w:rPr>
          <w:rFonts w:eastAsia="Georgia" w:hAnsi="Georgia" w:cs="Georgia"/>
          <w:color w:val="000000"/>
        </w:rPr>
        <w:t>, not the GHRH receptor. That receptor activation leads to growth hormone release in a pulsatile pattern, and studies suggest it does so with minimal stimulation of cortisol, prolactin, or ACTH compared with older secretagogues. In GI research, it has also been shown to improve gastric motility and accelerate gastric emptying in postoperative ileus models.</w:t>
      </w:r>
      <w:bookmarkStart w:id="12" w:name="fnref5"/>
      <w:bookmarkEnd w:id="12"/>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3" w:name="fnref4_2"/>
      <w:bookmarkEnd w:id="1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14" w:name="fnref1_2"/>
      <w:bookmarkEnd w:id="1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5" w:name="fnref2_2"/>
      <w:bookmarkEnd w:id="1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16" w:name="fnref3_2"/>
      <w:bookmarkEnd w:id="1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B914F67" w14:textId="77777777" w:rsidR="00BA0D0B" w:rsidRDefault="00000000">
      <w:pPr>
        <w:spacing w:before="315" w:after="105" w:line="360" w:lineRule="auto"/>
        <w:ind w:left="-30"/>
      </w:pPr>
      <w:bookmarkStart w:id="17" w:name="benefits_backed_by_research"/>
      <w:r>
        <w:rPr>
          <w:rFonts w:eastAsia="Georgia" w:hAnsi="Georgia" w:cs="Georgia"/>
          <w:b/>
          <w:color w:val="000000"/>
          <w:sz w:val="24"/>
        </w:rPr>
        <w:t>Benefits backed by research</w:t>
      </w:r>
      <w:bookmarkEnd w:id="17"/>
    </w:p>
    <w:p w14:paraId="309FE58E" w14:textId="77777777" w:rsidR="00BA0D0B" w:rsidRDefault="00000000">
      <w:pPr>
        <w:spacing w:after="210" w:line="360" w:lineRule="auto"/>
      </w:pPr>
      <w:r>
        <w:rPr>
          <w:rFonts w:eastAsia="Georgia" w:hAnsi="Georgia" w:cs="Georgia"/>
          <w:color w:val="000000"/>
        </w:rPr>
        <w:t>Your benefits section can be made more cautious and concise:</w:t>
      </w:r>
    </w:p>
    <w:p w14:paraId="013648D7" w14:textId="77777777" w:rsidR="00BA0D0B" w:rsidRDefault="00000000">
      <w:pPr>
        <w:numPr>
          <w:ilvl w:val="0"/>
          <w:numId w:val="2"/>
        </w:numPr>
        <w:spacing w:before="105" w:after="105" w:line="360" w:lineRule="auto"/>
      </w:pPr>
      <w:r>
        <w:rPr>
          <w:rFonts w:eastAsia="Georgia" w:hAnsi="Georgia" w:cs="Georgia"/>
          <w:color w:val="000000"/>
        </w:rPr>
        <w:t>GH secretion research: Ipamorelin produces dose-dependent GH release in animal and lab studies.</w:t>
      </w:r>
      <w:bookmarkStart w:id="18" w:name="fnref6"/>
      <w:bookmarkEnd w:id="18"/>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19" w:name="fnref1_3"/>
      <w:bookmarkEnd w:id="19"/>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A9501D3" w14:textId="77777777" w:rsidR="00BA0D0B" w:rsidRDefault="00000000">
      <w:pPr>
        <w:numPr>
          <w:ilvl w:val="0"/>
          <w:numId w:val="2"/>
        </w:numPr>
        <w:spacing w:before="105" w:after="105" w:line="360" w:lineRule="auto"/>
      </w:pPr>
      <w:r>
        <w:rPr>
          <w:rFonts w:eastAsia="Georgia" w:hAnsi="Georgia" w:cs="Georgia"/>
          <w:color w:val="000000"/>
        </w:rPr>
        <w:t>GI motility research: It accelerates gastric emptying and improves contractility in postoperative ileus models.</w:t>
      </w:r>
      <w:bookmarkStart w:id="20" w:name="fnref2_3"/>
      <w:bookmarkEnd w:id="2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1" w:name="fnref5_1"/>
      <w:bookmarkEnd w:id="21"/>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6173CB73" w14:textId="77777777" w:rsidR="00BA0D0B" w:rsidRDefault="00000000">
      <w:pPr>
        <w:numPr>
          <w:ilvl w:val="0"/>
          <w:numId w:val="2"/>
        </w:numPr>
        <w:spacing w:before="105" w:after="105" w:line="360" w:lineRule="auto"/>
      </w:pPr>
      <w:r>
        <w:rPr>
          <w:rFonts w:eastAsia="Georgia" w:hAnsi="Georgia" w:cs="Georgia"/>
          <w:color w:val="000000"/>
        </w:rPr>
        <w:t>Clinical investigation: It has been studied in postoperative bowel recovery trials, though evidence is limited and indication-specific.</w:t>
      </w:r>
      <w:bookmarkStart w:id="22" w:name="fnref4_3"/>
      <w:bookmarkEnd w:id="22"/>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23" w:name="fnref3_3"/>
      <w:bookmarkEnd w:id="2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250F147" w14:textId="77777777" w:rsidR="00BA0D0B" w:rsidRDefault="00000000">
      <w:pPr>
        <w:numPr>
          <w:ilvl w:val="0"/>
          <w:numId w:val="2"/>
        </w:numPr>
        <w:spacing w:before="105" w:after="105" w:line="360" w:lineRule="auto"/>
      </w:pPr>
      <w:r>
        <w:rPr>
          <w:rFonts w:eastAsia="Georgia" w:hAnsi="Georgia" w:cs="Georgia"/>
          <w:color w:val="000000"/>
        </w:rPr>
        <w:t>Selectivity: It shows relatively low off-target activation of cortisol and prolactin pathways.</w:t>
      </w:r>
      <w:bookmarkStart w:id="24" w:name="fnref1_4"/>
      <w:bookmarkEnd w:id="2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66450190" w14:textId="77777777" w:rsidR="00BA0D0B" w:rsidRDefault="00000000">
      <w:pPr>
        <w:spacing w:before="315" w:after="105" w:line="360" w:lineRule="auto"/>
        <w:ind w:left="-30"/>
      </w:pPr>
      <w:bookmarkStart w:id="25" w:name="dosage_wording"/>
      <w:r>
        <w:rPr>
          <w:rFonts w:eastAsia="Georgia" w:hAnsi="Georgia" w:cs="Georgia"/>
          <w:b/>
          <w:color w:val="000000"/>
          <w:sz w:val="24"/>
        </w:rPr>
        <w:t>Dosage wording</w:t>
      </w:r>
      <w:bookmarkEnd w:id="25"/>
    </w:p>
    <w:p w14:paraId="0059EA2D" w14:textId="77777777" w:rsidR="00BA0D0B" w:rsidRDefault="00000000">
      <w:pPr>
        <w:spacing w:after="210" w:line="360" w:lineRule="auto"/>
      </w:pPr>
      <w:r>
        <w:rPr>
          <w:rFonts w:eastAsia="Georgia" w:hAnsi="Georgia" w:cs="Georgia"/>
          <w:color w:val="000000"/>
        </w:rPr>
        <w:t xml:space="preserve">I would </w:t>
      </w:r>
      <w:r>
        <w:rPr>
          <w:rFonts w:eastAsia="Georgia" w:hAnsi="Georgia" w:cs="Georgia"/>
          <w:b/>
          <w:color w:val="000000"/>
        </w:rPr>
        <w:t>remove</w:t>
      </w:r>
      <w:r>
        <w:rPr>
          <w:rFonts w:eastAsia="Georgia" w:hAnsi="Georgia" w:cs="Georgia"/>
          <w:color w:val="000000"/>
        </w:rPr>
        <w:t xml:space="preserve"> the dosage section entirely from a public blog post, or rewrite it as a non-actionable research note. Giving specific microgram/kg dosing and reconstitution steps can read like usage instructions rather than educational content, which is risky for a research-peptide article. A safer replacement would be: “Experimental dose ranges vary by study design, species, route of administration, and endpoint, so published protocols should be reviewed directly before any laboratory use”.</w:t>
      </w:r>
      <w:bookmarkStart w:id="26" w:name="fnref3_4"/>
      <w:bookmarkEnd w:id="2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27" w:name="fnref4_4"/>
      <w:bookmarkEnd w:id="27"/>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28" w:name="fnref1_5"/>
      <w:bookmarkEnd w:id="28"/>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479734D" w14:textId="77777777" w:rsidR="00BA0D0B" w:rsidRDefault="00000000">
      <w:pPr>
        <w:spacing w:before="315" w:after="105" w:line="360" w:lineRule="auto"/>
        <w:ind w:left="-30"/>
      </w:pPr>
      <w:bookmarkStart w:id="29" w:name="results_timeline"/>
      <w:r>
        <w:rPr>
          <w:rFonts w:eastAsia="Georgia" w:hAnsi="Georgia" w:cs="Georgia"/>
          <w:b/>
          <w:color w:val="000000"/>
          <w:sz w:val="24"/>
        </w:rPr>
        <w:t>Results timeline</w:t>
      </w:r>
      <w:bookmarkEnd w:id="29"/>
    </w:p>
    <w:p w14:paraId="1249183C" w14:textId="77777777" w:rsidR="00BA0D0B" w:rsidRDefault="00000000">
      <w:pPr>
        <w:spacing w:after="210" w:line="360" w:lineRule="auto"/>
      </w:pPr>
      <w:r>
        <w:rPr>
          <w:rFonts w:eastAsia="Georgia" w:hAnsi="Georgia" w:cs="Georgia"/>
          <w:color w:val="000000"/>
        </w:rPr>
        <w:t xml:space="preserve">The “when to expect results” section should also be softened. Instead of promising phases of visible results, write that </w:t>
      </w:r>
      <w:r>
        <w:rPr>
          <w:rFonts w:eastAsia="Georgia" w:hAnsi="Georgia" w:cs="Georgia"/>
          <w:b/>
          <w:color w:val="000000"/>
        </w:rPr>
        <w:t>research outcomes</w:t>
      </w:r>
      <w:r>
        <w:rPr>
          <w:rFonts w:eastAsia="Georgia" w:hAnsi="Georgia" w:cs="Georgia"/>
          <w:color w:val="000000"/>
        </w:rPr>
        <w:t xml:space="preserve"> depend on the model, dosing schedule, and measured endpoint, with GH-related changes often occurring quickly after administration in experimental settings. For GI motility studies, effects may appear in acute postoperative models, while longer-term metabolic or body-composition findings require chronic study designs.</w:t>
      </w:r>
      <w:bookmarkStart w:id="30" w:name="fnref7"/>
      <w:bookmarkEnd w:id="30"/>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31" w:name="fnref1_6"/>
      <w:bookmarkEnd w:id="3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32" w:name="fnref3_5"/>
      <w:bookmarkEnd w:id="3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9336DAD" w14:textId="77777777" w:rsidR="00BA0D0B" w:rsidRDefault="00000000">
      <w:pPr>
        <w:spacing w:before="315" w:after="105" w:line="360" w:lineRule="auto"/>
        <w:ind w:left="-30"/>
      </w:pPr>
      <w:bookmarkStart w:id="33" w:name="better_closing"/>
      <w:r>
        <w:rPr>
          <w:rFonts w:eastAsia="Georgia" w:hAnsi="Georgia" w:cs="Georgia"/>
          <w:b/>
          <w:color w:val="000000"/>
          <w:sz w:val="24"/>
        </w:rPr>
        <w:t>Better closing</w:t>
      </w:r>
      <w:bookmarkEnd w:id="33"/>
    </w:p>
    <w:p w14:paraId="65035480" w14:textId="77777777" w:rsidR="00BA0D0B" w:rsidRDefault="00000000">
      <w:pPr>
        <w:spacing w:after="210" w:line="360" w:lineRule="auto"/>
      </w:pPr>
      <w:r>
        <w:rPr>
          <w:rFonts w:eastAsia="Georgia" w:hAnsi="Georgia" w:cs="Georgia"/>
          <w:color w:val="000000"/>
        </w:rPr>
        <w:lastRenderedPageBreak/>
        <w:t>A stronger ending would be:</w:t>
      </w:r>
    </w:p>
    <w:p w14:paraId="4BCDAFE9" w14:textId="77777777" w:rsidR="00BA0D0B" w:rsidRDefault="00000000">
      <w:pPr>
        <w:spacing w:after="210" w:line="360" w:lineRule="auto"/>
      </w:pPr>
      <w:r>
        <w:rPr>
          <w:rFonts w:eastAsia="Georgia" w:hAnsi="Georgia" w:cs="Georgia"/>
          <w:color w:val="000000"/>
        </w:rPr>
        <w:t>“Ipamorelin is best understood as a selective research peptide for studying GH pulsatility, receptor-specific signaling, and gastrointestinal motility. Its value lies in controlled laboratory and clinical research settings, not in unapproved human use. As with any peptide research program, evidence quality, purity, and regulatory status should guide interpretation.”</w:t>
      </w:r>
      <w:bookmarkStart w:id="34" w:name="fnref4_5"/>
      <w:bookmarkEnd w:id="34"/>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35" w:name="fnref1_7"/>
      <w:bookmarkEnd w:id="3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36" w:name="fnref3_6"/>
      <w:bookmarkEnd w:id="3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2CE261E6" w14:textId="77777777" w:rsidR="00BA0D0B" w:rsidRDefault="00000000">
      <w:pPr>
        <w:spacing w:after="210" w:line="360" w:lineRule="auto"/>
      </w:pPr>
      <w:r>
        <w:rPr>
          <w:rFonts w:eastAsia="Georgia" w:hAnsi="Georgia" w:cs="Georgia"/>
          <w:color w:val="000000"/>
        </w:rPr>
        <w:t>Would you like me to turn this into a full SEO blog draft with a title, meta description, FAQ, and clean section headings?</w:t>
      </w:r>
      <w:r>
        <w:rPr>
          <w:rFonts w:eastAsia="Georgia" w:hAnsi="Georgia" w:cs="Georgia"/>
          <w:color w:val="000000"/>
        </w:rPr>
        <w:br/>
      </w:r>
    </w:p>
    <w:p w14:paraId="03D28FBF" w14:textId="77777777" w:rsidR="00BA0D0B" w:rsidRDefault="00000000">
      <w:pPr>
        <w:spacing w:line="360" w:lineRule="auto"/>
      </w:pPr>
      <w:r>
        <w:rPr>
          <w:rFonts w:eastAsia="Georgia" w:hAnsi="Georgia" w:cs="Georgia"/>
          <w:color w:val="000000"/>
        </w:rPr>
        <w:t>⁂</w:t>
      </w:r>
    </w:p>
    <w:p w14:paraId="3FE14809" w14:textId="77777777" w:rsidR="00BA0D0B" w:rsidRDefault="00DC2318">
      <w:pPr>
        <w:spacing w:before="210" w:after="0" w:line="360" w:lineRule="auto"/>
      </w:pPr>
      <w:r>
        <w:rPr>
          <w:noProof/>
        </w:rPr>
      </w:r>
      <w:r>
        <w:rPr>
          <w:noProof/>
        </w:rPr>
        <w:pict w14:anchorId="1727A28E">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37" w:name="fn1"/>
    <w:bookmarkEnd w:id="37"/>
    <w:p w14:paraId="40955D35" w14:textId="77777777" w:rsidR="00BA0D0B" w:rsidRDefault="00000000">
      <w:pPr>
        <w:numPr>
          <w:ilvl w:val="0"/>
          <w:numId w:val="4"/>
        </w:numPr>
        <w:spacing w:after="210" w:line="360" w:lineRule="auto"/>
      </w:pPr>
      <w:r>
        <w:fldChar w:fldCharType="begin"/>
      </w:r>
      <w:r>
        <w:instrText>HYPERLINK "https://pubmed.ncbi.nlm.nih.gov/9849822/" \h</w:instrText>
      </w:r>
      <w:r>
        <w:fldChar w:fldCharType="separate"/>
      </w:r>
      <w:r>
        <w:rPr>
          <w:rFonts w:ascii="Helvetica Neue" w:eastAsia="Helvetica Neue" w:hAnsi="Helvetica Neue" w:cs="Helvetica Neue"/>
          <w:sz w:val="18"/>
          <w:u w:val="single"/>
        </w:rPr>
        <w:t>https://pubmed.ncbi.nlm.nih.gov/9849822/</w:t>
      </w:r>
      <w:r>
        <w:fldChar w:fldCharType="end"/>
      </w:r>
      <w:r>
        <w:rPr>
          <w:rFonts w:eastAsia="Georgia" w:hAnsi="Georgia" w:cs="Georgia"/>
          <w:color w:val="000000"/>
          <w:sz w:val="18"/>
        </w:rPr>
        <w:t xml:space="preserve">        </w:t>
      </w:r>
    </w:p>
    <w:bookmarkStart w:id="38" w:name="fn2"/>
    <w:bookmarkEnd w:id="38"/>
    <w:p w14:paraId="3D258F39" w14:textId="77777777" w:rsidR="00BA0D0B" w:rsidRDefault="00000000">
      <w:pPr>
        <w:numPr>
          <w:ilvl w:val="0"/>
          <w:numId w:val="4"/>
        </w:numPr>
        <w:spacing w:after="210" w:line="360" w:lineRule="auto"/>
      </w:pPr>
      <w:r>
        <w:fldChar w:fldCharType="begin"/>
      </w:r>
      <w:r>
        <w:instrText>HYPERLINK "https://pmc.ncbi.nlm.nih.gov/articles/PMC4863553/" \h</w:instrText>
      </w:r>
      <w:r>
        <w:fldChar w:fldCharType="separate"/>
      </w:r>
      <w:r>
        <w:rPr>
          <w:rFonts w:ascii="Helvetica Neue" w:eastAsia="Helvetica Neue" w:hAnsi="Helvetica Neue" w:cs="Helvetica Neue"/>
          <w:sz w:val="18"/>
          <w:u w:val="single"/>
        </w:rPr>
        <w:t>https://pmc.ncbi.nlm.nih.gov/articles/PMC4863553/</w:t>
      </w:r>
      <w:r>
        <w:fldChar w:fldCharType="end"/>
      </w:r>
      <w:r>
        <w:rPr>
          <w:rFonts w:eastAsia="Georgia" w:hAnsi="Georgia" w:cs="Georgia"/>
          <w:color w:val="000000"/>
          <w:sz w:val="18"/>
        </w:rPr>
        <w:t xml:space="preserve">    </w:t>
      </w:r>
    </w:p>
    <w:bookmarkStart w:id="39" w:name="fn3"/>
    <w:bookmarkEnd w:id="39"/>
    <w:p w14:paraId="64F456CB" w14:textId="77777777" w:rsidR="00BA0D0B" w:rsidRDefault="00000000">
      <w:pPr>
        <w:numPr>
          <w:ilvl w:val="0"/>
          <w:numId w:val="4"/>
        </w:numPr>
        <w:spacing w:after="210" w:line="360" w:lineRule="auto"/>
      </w:pPr>
      <w:r>
        <w:fldChar w:fldCharType="begin"/>
      </w:r>
      <w:r>
        <w:instrText>HYPERLINK "https://pubmed.ncbi.nlm.nih.gov/25331030/" \h</w:instrText>
      </w:r>
      <w:r>
        <w:fldChar w:fldCharType="separate"/>
      </w:r>
      <w:r>
        <w:rPr>
          <w:rFonts w:ascii="Helvetica Neue" w:eastAsia="Helvetica Neue" w:hAnsi="Helvetica Neue" w:cs="Helvetica Neue"/>
          <w:sz w:val="18"/>
          <w:u w:val="single"/>
        </w:rPr>
        <w:t>https://pubmed.ncbi.nlm.nih.gov/25331030/</w:t>
      </w:r>
      <w:r>
        <w:fldChar w:fldCharType="end"/>
      </w:r>
      <w:r>
        <w:rPr>
          <w:rFonts w:eastAsia="Georgia" w:hAnsi="Georgia" w:cs="Georgia"/>
          <w:color w:val="000000"/>
          <w:sz w:val="18"/>
        </w:rPr>
        <w:t xml:space="preserve">       </w:t>
      </w:r>
    </w:p>
    <w:bookmarkStart w:id="40" w:name="fn4"/>
    <w:bookmarkEnd w:id="40"/>
    <w:p w14:paraId="0CB2A8D4" w14:textId="77777777" w:rsidR="00BA0D0B" w:rsidRDefault="00000000">
      <w:pPr>
        <w:numPr>
          <w:ilvl w:val="0"/>
          <w:numId w:val="4"/>
        </w:numPr>
        <w:spacing w:after="210" w:line="360" w:lineRule="auto"/>
      </w:pPr>
      <w:r>
        <w:fldChar w:fldCharType="begin"/>
      </w:r>
      <w:r>
        <w:instrText>HYPERLINK "https://clinicaltrials.gov/study/NCT01280344" \h</w:instrText>
      </w:r>
      <w:r>
        <w:fldChar w:fldCharType="separate"/>
      </w:r>
      <w:r>
        <w:rPr>
          <w:rFonts w:ascii="Helvetica Neue" w:eastAsia="Helvetica Neue" w:hAnsi="Helvetica Neue" w:cs="Helvetica Neue"/>
          <w:sz w:val="18"/>
          <w:u w:val="single"/>
        </w:rPr>
        <w:t>https://clinicaltrials.gov/study/NCT01280344</w:t>
      </w:r>
      <w:r>
        <w:fldChar w:fldCharType="end"/>
      </w:r>
      <w:r>
        <w:rPr>
          <w:rFonts w:eastAsia="Georgia" w:hAnsi="Georgia" w:cs="Georgia"/>
          <w:color w:val="000000"/>
          <w:sz w:val="18"/>
        </w:rPr>
        <w:t xml:space="preserve">      </w:t>
      </w:r>
    </w:p>
    <w:bookmarkStart w:id="41" w:name="fn5"/>
    <w:bookmarkEnd w:id="41"/>
    <w:p w14:paraId="3D0382E4" w14:textId="77777777" w:rsidR="00BA0D0B" w:rsidRDefault="00000000">
      <w:pPr>
        <w:numPr>
          <w:ilvl w:val="0"/>
          <w:numId w:val="4"/>
        </w:numPr>
        <w:spacing w:after="210" w:line="360" w:lineRule="auto"/>
      </w:pPr>
      <w:r>
        <w:fldChar w:fldCharType="begin"/>
      </w:r>
      <w:r>
        <w:instrText>HYPERLINK "https://pubmed.ncbi.nlm.nih.gov/27186127/" \h</w:instrText>
      </w:r>
      <w:r>
        <w:fldChar w:fldCharType="separate"/>
      </w:r>
      <w:r>
        <w:rPr>
          <w:rFonts w:ascii="Helvetica Neue" w:eastAsia="Helvetica Neue" w:hAnsi="Helvetica Neue" w:cs="Helvetica Neue"/>
          <w:sz w:val="18"/>
          <w:u w:val="single"/>
        </w:rPr>
        <w:t>https://pubmed.ncbi.nlm.nih.gov/27186127/</w:t>
      </w:r>
      <w:r>
        <w:fldChar w:fldCharType="end"/>
      </w:r>
      <w:r>
        <w:rPr>
          <w:rFonts w:eastAsia="Georgia" w:hAnsi="Georgia" w:cs="Georgia"/>
          <w:color w:val="000000"/>
          <w:sz w:val="18"/>
        </w:rPr>
        <w:t xml:space="preserve">  </w:t>
      </w:r>
    </w:p>
    <w:bookmarkStart w:id="42" w:name="fn6"/>
    <w:bookmarkEnd w:id="42"/>
    <w:p w14:paraId="4AC12F4E" w14:textId="77777777" w:rsidR="00BA0D0B" w:rsidRDefault="00000000">
      <w:pPr>
        <w:numPr>
          <w:ilvl w:val="0"/>
          <w:numId w:val="4"/>
        </w:numPr>
        <w:spacing w:after="210" w:line="360" w:lineRule="auto"/>
      </w:pPr>
      <w:r>
        <w:fldChar w:fldCharType="begin"/>
      </w:r>
      <w:r>
        <w:instrText>HYPERLINK "https://pubmed.ncbi.nlm.nih.gov/12168778/" \h</w:instrText>
      </w:r>
      <w:r>
        <w:fldChar w:fldCharType="separate"/>
      </w:r>
      <w:r>
        <w:rPr>
          <w:rFonts w:ascii="Helvetica Neue" w:eastAsia="Helvetica Neue" w:hAnsi="Helvetica Neue" w:cs="Helvetica Neue"/>
          <w:sz w:val="18"/>
          <w:u w:val="single"/>
        </w:rPr>
        <w:t>https://pubmed.ncbi.nlm.nih.gov/12168778/</w:t>
      </w:r>
      <w:r>
        <w:fldChar w:fldCharType="end"/>
      </w:r>
      <w:r>
        <w:rPr>
          <w:rFonts w:eastAsia="Georgia" w:hAnsi="Georgia" w:cs="Georgia"/>
          <w:color w:val="000000"/>
          <w:sz w:val="18"/>
        </w:rPr>
        <w:t xml:space="preserve"> </w:t>
      </w:r>
    </w:p>
    <w:bookmarkStart w:id="43" w:name="fn7"/>
    <w:bookmarkEnd w:id="43"/>
    <w:p w14:paraId="7040B24D" w14:textId="77777777" w:rsidR="00BA0D0B" w:rsidRDefault="00000000">
      <w:pPr>
        <w:numPr>
          <w:ilvl w:val="0"/>
          <w:numId w:val="4"/>
        </w:numPr>
        <w:spacing w:after="210" w:line="360" w:lineRule="auto"/>
      </w:pPr>
      <w:r>
        <w:fldChar w:fldCharType="begin"/>
      </w:r>
      <w:r>
        <w:instrText>HYPERLINK "https://pubmed.ncbi.nlm.nih.gov/11735244/" \h</w:instrText>
      </w:r>
      <w:r>
        <w:fldChar w:fldCharType="separate"/>
      </w:r>
      <w:r>
        <w:rPr>
          <w:rFonts w:ascii="Helvetica Neue" w:eastAsia="Helvetica Neue" w:hAnsi="Helvetica Neue" w:cs="Helvetica Neue"/>
          <w:sz w:val="18"/>
          <w:u w:val="single"/>
        </w:rPr>
        <w:t>https://pubmed.ncbi.nlm.nih.gov/11735244/</w:t>
      </w:r>
      <w:r>
        <w:fldChar w:fldCharType="end"/>
      </w:r>
      <w:r>
        <w:rPr>
          <w:rFonts w:eastAsia="Georgia" w:hAnsi="Georgia" w:cs="Georgia"/>
          <w:color w:val="000000"/>
          <w:sz w:val="18"/>
        </w:rPr>
        <w:t xml:space="preserve"> </w:t>
      </w:r>
    </w:p>
    <w:bookmarkStart w:id="44" w:name="fn8"/>
    <w:bookmarkEnd w:id="44"/>
    <w:p w14:paraId="7D05348C" w14:textId="77777777" w:rsidR="00BA0D0B" w:rsidRDefault="00000000">
      <w:pPr>
        <w:numPr>
          <w:ilvl w:val="0"/>
          <w:numId w:val="4"/>
        </w:numPr>
        <w:spacing w:after="210" w:line="360" w:lineRule="auto"/>
      </w:pPr>
      <w:r>
        <w:fldChar w:fldCharType="begin"/>
      </w:r>
      <w:r>
        <w:instrText>HYPERLINK "https://synapse.patsnap.com/drug/d8ed045a9830446390a2c0315ea14c8d" \h</w:instrText>
      </w:r>
      <w:r>
        <w:fldChar w:fldCharType="separate"/>
      </w:r>
      <w:r>
        <w:rPr>
          <w:rFonts w:ascii="Helvetica Neue" w:eastAsia="Helvetica Neue" w:hAnsi="Helvetica Neue" w:cs="Helvetica Neue"/>
          <w:sz w:val="18"/>
          <w:u w:val="single"/>
        </w:rPr>
        <w:t>https://synapse.patsnap.com/drug/d8ed045a9830446390a2c0315ea14c8d</w:t>
      </w:r>
      <w:r>
        <w:fldChar w:fldCharType="end"/>
      </w:r>
      <w:r>
        <w:rPr>
          <w:rFonts w:eastAsia="Georgia" w:hAnsi="Georgia" w:cs="Georgia"/>
          <w:color w:val="000000"/>
          <w:sz w:val="18"/>
        </w:rPr>
        <w:t xml:space="preserve"> </w:t>
      </w:r>
    </w:p>
    <w:bookmarkStart w:id="45" w:name="fn9"/>
    <w:bookmarkEnd w:id="45"/>
    <w:p w14:paraId="4BBDD35F" w14:textId="77777777" w:rsidR="00BA0D0B" w:rsidRDefault="00000000">
      <w:pPr>
        <w:numPr>
          <w:ilvl w:val="0"/>
          <w:numId w:val="4"/>
        </w:numPr>
        <w:spacing w:after="210" w:line="360" w:lineRule="auto"/>
      </w:pPr>
      <w:r>
        <w:fldChar w:fldCharType="begin"/>
      </w:r>
      <w:r>
        <w:instrText>HYPERLINK "https://pubmed.ncbi.nlm.nih.gov/16352683/" \h</w:instrText>
      </w:r>
      <w:r>
        <w:fldChar w:fldCharType="separate"/>
      </w:r>
      <w:r>
        <w:rPr>
          <w:rFonts w:ascii="Helvetica Neue" w:eastAsia="Helvetica Neue" w:hAnsi="Helvetica Neue" w:cs="Helvetica Neue"/>
          <w:sz w:val="18"/>
          <w:u w:val="single"/>
        </w:rPr>
        <w:t>https://pubmed.ncbi.nlm.nih.gov/16352683/</w:t>
      </w:r>
      <w:r>
        <w:fldChar w:fldCharType="end"/>
      </w:r>
      <w:r>
        <w:rPr>
          <w:rFonts w:eastAsia="Georgia" w:hAnsi="Georgia" w:cs="Georgia"/>
          <w:color w:val="000000"/>
          <w:sz w:val="18"/>
        </w:rPr>
        <w:t xml:space="preserve"> </w:t>
      </w:r>
    </w:p>
    <w:bookmarkStart w:id="46" w:name="fn10"/>
    <w:bookmarkEnd w:id="46"/>
    <w:p w14:paraId="4C62CEBC" w14:textId="77777777" w:rsidR="00BA0D0B" w:rsidRDefault="00000000">
      <w:pPr>
        <w:numPr>
          <w:ilvl w:val="0"/>
          <w:numId w:val="4"/>
        </w:numPr>
        <w:spacing w:after="210" w:line="360" w:lineRule="auto"/>
      </w:pPr>
      <w:r>
        <w:fldChar w:fldCharType="begin"/>
      </w:r>
      <w:r>
        <w:instrText>HYPERLINK "https://adisinsight.springer.com/drugs/800011351" \h</w:instrText>
      </w:r>
      <w:r>
        <w:fldChar w:fldCharType="separate"/>
      </w:r>
      <w:r>
        <w:rPr>
          <w:rFonts w:ascii="Helvetica Neue" w:eastAsia="Helvetica Neue" w:hAnsi="Helvetica Neue" w:cs="Helvetica Neue"/>
          <w:sz w:val="18"/>
          <w:u w:val="single"/>
        </w:rPr>
        <w:t>https://adisinsight.springer.com/drugs/800011351</w:t>
      </w:r>
      <w:r>
        <w:fldChar w:fldCharType="end"/>
      </w:r>
      <w:r>
        <w:rPr>
          <w:rFonts w:eastAsia="Georgia" w:hAnsi="Georgia" w:cs="Georgia"/>
          <w:color w:val="000000"/>
          <w:sz w:val="18"/>
        </w:rPr>
        <w:t xml:space="preserve"> </w:t>
      </w:r>
    </w:p>
    <w:bookmarkStart w:id="47" w:name="fn11"/>
    <w:bookmarkEnd w:id="47"/>
    <w:p w14:paraId="05A1D95E" w14:textId="77777777" w:rsidR="00BA0D0B" w:rsidRDefault="00000000">
      <w:pPr>
        <w:numPr>
          <w:ilvl w:val="0"/>
          <w:numId w:val="4"/>
        </w:numPr>
        <w:spacing w:after="210" w:line="360" w:lineRule="auto"/>
      </w:pPr>
      <w:r>
        <w:fldChar w:fldCharType="begin"/>
      </w:r>
      <w:r>
        <w:instrText>HYPERLINK "https://pubmed.ncbi.nlm.nih.gov/11459660/" \h</w:instrText>
      </w:r>
      <w:r>
        <w:fldChar w:fldCharType="separate"/>
      </w:r>
      <w:r>
        <w:rPr>
          <w:rFonts w:ascii="Helvetica Neue" w:eastAsia="Helvetica Neue" w:hAnsi="Helvetica Neue" w:cs="Helvetica Neue"/>
          <w:sz w:val="18"/>
          <w:u w:val="single"/>
        </w:rPr>
        <w:t>https://pubmed.ncbi.nlm.nih.gov/11459660/</w:t>
      </w:r>
      <w:r>
        <w:fldChar w:fldCharType="end"/>
      </w:r>
      <w:r>
        <w:rPr>
          <w:rFonts w:eastAsia="Georgia" w:hAnsi="Georgia" w:cs="Georgia"/>
          <w:color w:val="000000"/>
          <w:sz w:val="18"/>
        </w:rPr>
        <w:t xml:space="preserve"> </w:t>
      </w:r>
    </w:p>
    <w:bookmarkStart w:id="48" w:name="fn12"/>
    <w:bookmarkEnd w:id="48"/>
    <w:p w14:paraId="2D1CA12C" w14:textId="77777777" w:rsidR="00BA0D0B" w:rsidRDefault="00000000">
      <w:pPr>
        <w:numPr>
          <w:ilvl w:val="0"/>
          <w:numId w:val="4"/>
        </w:numPr>
        <w:spacing w:after="210" w:line="360" w:lineRule="auto"/>
      </w:pPr>
      <w:r>
        <w:fldChar w:fldCharType="begin"/>
      </w:r>
      <w:r>
        <w:instrText>HYPERLINK "https://pubmed.ncbi.nlm.nih.gov/10496658/" \h</w:instrText>
      </w:r>
      <w:r>
        <w:fldChar w:fldCharType="separate"/>
      </w:r>
      <w:r>
        <w:rPr>
          <w:rFonts w:ascii="Helvetica Neue" w:eastAsia="Helvetica Neue" w:hAnsi="Helvetica Neue" w:cs="Helvetica Neue"/>
          <w:sz w:val="18"/>
          <w:u w:val="single"/>
        </w:rPr>
        <w:t>https://pubmed.ncbi.nlm.nih.gov/10496658/</w:t>
      </w:r>
      <w:r>
        <w:fldChar w:fldCharType="end"/>
      </w:r>
      <w:r>
        <w:rPr>
          <w:rFonts w:eastAsia="Georgia" w:hAnsi="Georgia" w:cs="Georgia"/>
          <w:color w:val="000000"/>
          <w:sz w:val="18"/>
        </w:rPr>
        <w:t xml:space="preserve"> </w:t>
      </w:r>
    </w:p>
    <w:bookmarkStart w:id="49" w:name="fn13"/>
    <w:bookmarkEnd w:id="49"/>
    <w:p w14:paraId="3E5FED66" w14:textId="77777777" w:rsidR="00BA0D0B" w:rsidRDefault="00000000">
      <w:pPr>
        <w:numPr>
          <w:ilvl w:val="0"/>
          <w:numId w:val="4"/>
        </w:numPr>
        <w:spacing w:after="210" w:line="360" w:lineRule="auto"/>
      </w:pPr>
      <w:r>
        <w:fldChar w:fldCharType="begin"/>
      </w:r>
      <w:r>
        <w:instrText>HYPERLINK "https://pubmed.ncbi.nlm.nih.gov/19289567/" \h</w:instrText>
      </w:r>
      <w:r>
        <w:fldChar w:fldCharType="separate"/>
      </w:r>
      <w:r>
        <w:rPr>
          <w:rFonts w:ascii="Helvetica Neue" w:eastAsia="Helvetica Neue" w:hAnsi="Helvetica Neue" w:cs="Helvetica Neue"/>
          <w:sz w:val="18"/>
          <w:u w:val="single"/>
        </w:rPr>
        <w:t>https://pubmed.ncbi.nlm.nih.gov/19289567/</w:t>
      </w:r>
      <w:r>
        <w:fldChar w:fldCharType="end"/>
      </w:r>
      <w:r>
        <w:rPr>
          <w:rFonts w:eastAsia="Georgia" w:hAnsi="Georgia" w:cs="Georgia"/>
          <w:color w:val="000000"/>
          <w:sz w:val="18"/>
        </w:rPr>
        <w:t xml:space="preserve"> </w:t>
      </w:r>
    </w:p>
    <w:bookmarkStart w:id="50" w:name="fn14"/>
    <w:bookmarkEnd w:id="50"/>
    <w:p w14:paraId="012348C9" w14:textId="77777777" w:rsidR="00BA0D0B" w:rsidRDefault="00000000">
      <w:pPr>
        <w:numPr>
          <w:ilvl w:val="0"/>
          <w:numId w:val="4"/>
        </w:numPr>
        <w:spacing w:after="210" w:line="360" w:lineRule="auto"/>
      </w:pPr>
      <w:r>
        <w:fldChar w:fldCharType="begin"/>
      </w:r>
      <w:r>
        <w:instrText>HYPERLINK "https://pubmed.ncbi.nlm.nih.gov/11322495/" \h</w:instrText>
      </w:r>
      <w:r>
        <w:fldChar w:fldCharType="separate"/>
      </w:r>
      <w:r>
        <w:rPr>
          <w:rFonts w:ascii="Helvetica Neue" w:eastAsia="Helvetica Neue" w:hAnsi="Helvetica Neue" w:cs="Helvetica Neue"/>
          <w:sz w:val="18"/>
          <w:u w:val="single"/>
        </w:rPr>
        <w:t>https://pubmed.ncbi.nlm.nih.gov/11322495/</w:t>
      </w:r>
      <w:r>
        <w:fldChar w:fldCharType="end"/>
      </w:r>
      <w:r>
        <w:rPr>
          <w:rFonts w:eastAsia="Georgia" w:hAnsi="Georgia" w:cs="Georgia"/>
          <w:color w:val="000000"/>
          <w:sz w:val="18"/>
        </w:rPr>
        <w:t xml:space="preserve"> </w:t>
      </w:r>
    </w:p>
    <w:bookmarkStart w:id="51" w:name="fn15"/>
    <w:bookmarkEnd w:id="51"/>
    <w:p w14:paraId="41ABFB9F" w14:textId="77777777" w:rsidR="00BA0D0B" w:rsidRDefault="00000000">
      <w:pPr>
        <w:numPr>
          <w:ilvl w:val="0"/>
          <w:numId w:val="4"/>
        </w:numPr>
        <w:spacing w:after="210" w:line="360" w:lineRule="auto"/>
      </w:pPr>
      <w:r>
        <w:fldChar w:fldCharType="begin"/>
      </w:r>
      <w:r>
        <w:instrText>HYPERLINK "https://pubmed.ncbi.nlm.nih.gov/22484009/" \h</w:instrText>
      </w:r>
      <w:r>
        <w:fldChar w:fldCharType="separate"/>
      </w:r>
      <w:r>
        <w:rPr>
          <w:rFonts w:ascii="Helvetica Neue" w:eastAsia="Helvetica Neue" w:hAnsi="Helvetica Neue" w:cs="Helvetica Neue"/>
          <w:sz w:val="18"/>
          <w:u w:val="single"/>
        </w:rPr>
        <w:t>https://pubmed.ncbi.nlm.nih.gov/22484009/</w:t>
      </w:r>
      <w:r>
        <w:fldChar w:fldCharType="end"/>
      </w:r>
      <w:r>
        <w:rPr>
          <w:rFonts w:eastAsia="Georgia" w:hAnsi="Georgia" w:cs="Georgia"/>
          <w:color w:val="000000"/>
          <w:sz w:val="18"/>
        </w:rPr>
        <w:t xml:space="preserve"> </w:t>
      </w:r>
    </w:p>
    <w:sectPr w:rsidR="00BA0D0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8124F"/>
    <w:multiLevelType w:val="hybridMultilevel"/>
    <w:tmpl w:val="037E48EC"/>
    <w:lvl w:ilvl="0" w:tplc="F54CEF3C">
      <w:start w:val="1"/>
      <w:numFmt w:val="bullet"/>
      <w:lvlText w:val=""/>
      <w:lvlJc w:val="left"/>
      <w:pPr>
        <w:tabs>
          <w:tab w:val="num" w:pos="900"/>
        </w:tabs>
        <w:ind w:left="540" w:hanging="360"/>
      </w:pPr>
      <w:rPr>
        <w:rFonts w:ascii="Symbol" w:hAnsi="Symbol" w:hint="default"/>
      </w:rPr>
    </w:lvl>
    <w:lvl w:ilvl="1" w:tplc="5222655E">
      <w:numFmt w:val="decimal"/>
      <w:lvlText w:val=""/>
      <w:lvlJc w:val="left"/>
    </w:lvl>
    <w:lvl w:ilvl="2" w:tplc="4DA62C96">
      <w:numFmt w:val="decimal"/>
      <w:lvlText w:val=""/>
      <w:lvlJc w:val="left"/>
    </w:lvl>
    <w:lvl w:ilvl="3" w:tplc="C87CCAD2">
      <w:numFmt w:val="decimal"/>
      <w:lvlText w:val=""/>
      <w:lvlJc w:val="left"/>
    </w:lvl>
    <w:lvl w:ilvl="4" w:tplc="6D641092">
      <w:numFmt w:val="decimal"/>
      <w:lvlText w:val=""/>
      <w:lvlJc w:val="left"/>
    </w:lvl>
    <w:lvl w:ilvl="5" w:tplc="2ED02664">
      <w:numFmt w:val="decimal"/>
      <w:lvlText w:val=""/>
      <w:lvlJc w:val="left"/>
    </w:lvl>
    <w:lvl w:ilvl="6" w:tplc="43988268">
      <w:numFmt w:val="decimal"/>
      <w:lvlText w:val=""/>
      <w:lvlJc w:val="left"/>
    </w:lvl>
    <w:lvl w:ilvl="7" w:tplc="44BE7A52">
      <w:numFmt w:val="decimal"/>
      <w:lvlText w:val=""/>
      <w:lvlJc w:val="left"/>
    </w:lvl>
    <w:lvl w:ilvl="8" w:tplc="26DE8012">
      <w:numFmt w:val="decimal"/>
      <w:lvlText w:val=""/>
      <w:lvlJc w:val="left"/>
    </w:lvl>
  </w:abstractNum>
  <w:abstractNum w:abstractNumId="1" w15:restartNumberingAfterBreak="0">
    <w:nsid w:val="28C96206"/>
    <w:multiLevelType w:val="hybridMultilevel"/>
    <w:tmpl w:val="B44678A4"/>
    <w:lvl w:ilvl="0" w:tplc="C18CAABE">
      <w:start w:val="1"/>
      <w:numFmt w:val="decimal"/>
      <w:lvlText w:val="%1."/>
      <w:lvlJc w:val="left"/>
      <w:pPr>
        <w:tabs>
          <w:tab w:val="num" w:pos="900"/>
        </w:tabs>
        <w:ind w:left="540" w:hanging="360"/>
      </w:pPr>
    </w:lvl>
    <w:lvl w:ilvl="1" w:tplc="B158F606">
      <w:numFmt w:val="decimal"/>
      <w:lvlText w:val=""/>
      <w:lvlJc w:val="left"/>
    </w:lvl>
    <w:lvl w:ilvl="2" w:tplc="D46E1096">
      <w:numFmt w:val="decimal"/>
      <w:lvlText w:val=""/>
      <w:lvlJc w:val="left"/>
    </w:lvl>
    <w:lvl w:ilvl="3" w:tplc="BF408466">
      <w:numFmt w:val="decimal"/>
      <w:lvlText w:val=""/>
      <w:lvlJc w:val="left"/>
    </w:lvl>
    <w:lvl w:ilvl="4" w:tplc="B57C07E6">
      <w:numFmt w:val="decimal"/>
      <w:lvlText w:val=""/>
      <w:lvlJc w:val="left"/>
    </w:lvl>
    <w:lvl w:ilvl="5" w:tplc="5F4E8E12">
      <w:numFmt w:val="decimal"/>
      <w:lvlText w:val=""/>
      <w:lvlJc w:val="left"/>
    </w:lvl>
    <w:lvl w:ilvl="6" w:tplc="EB2ED81A">
      <w:numFmt w:val="decimal"/>
      <w:lvlText w:val=""/>
      <w:lvlJc w:val="left"/>
    </w:lvl>
    <w:lvl w:ilvl="7" w:tplc="E8FCC082">
      <w:numFmt w:val="decimal"/>
      <w:lvlText w:val=""/>
      <w:lvlJc w:val="left"/>
    </w:lvl>
    <w:lvl w:ilvl="8" w:tplc="ACBEA326">
      <w:numFmt w:val="decimal"/>
      <w:lvlText w:val=""/>
      <w:lvlJc w:val="left"/>
    </w:lvl>
  </w:abstractNum>
  <w:abstractNum w:abstractNumId="2" w15:restartNumberingAfterBreak="0">
    <w:nsid w:val="3A807609"/>
    <w:multiLevelType w:val="hybridMultilevel"/>
    <w:tmpl w:val="34AE7062"/>
    <w:lvl w:ilvl="0" w:tplc="F9B0669E">
      <w:numFmt w:val="decimal"/>
      <w:lvlText w:val=""/>
      <w:lvlJc w:val="left"/>
    </w:lvl>
    <w:lvl w:ilvl="1" w:tplc="5C1AEEF2">
      <w:numFmt w:val="decimal"/>
      <w:lvlText w:val=""/>
      <w:lvlJc w:val="left"/>
    </w:lvl>
    <w:lvl w:ilvl="2" w:tplc="7C74067C">
      <w:numFmt w:val="decimal"/>
      <w:lvlText w:val=""/>
      <w:lvlJc w:val="left"/>
    </w:lvl>
    <w:lvl w:ilvl="3" w:tplc="18B40EC4">
      <w:numFmt w:val="decimal"/>
      <w:lvlText w:val=""/>
      <w:lvlJc w:val="left"/>
    </w:lvl>
    <w:lvl w:ilvl="4" w:tplc="AFDAAF82">
      <w:numFmt w:val="decimal"/>
      <w:lvlText w:val=""/>
      <w:lvlJc w:val="left"/>
    </w:lvl>
    <w:lvl w:ilvl="5" w:tplc="AF20E8BA">
      <w:numFmt w:val="decimal"/>
      <w:lvlText w:val=""/>
      <w:lvlJc w:val="left"/>
    </w:lvl>
    <w:lvl w:ilvl="6" w:tplc="BCF6D7B8">
      <w:numFmt w:val="decimal"/>
      <w:lvlText w:val=""/>
      <w:lvlJc w:val="left"/>
    </w:lvl>
    <w:lvl w:ilvl="7" w:tplc="5C4416CC">
      <w:numFmt w:val="decimal"/>
      <w:lvlText w:val=""/>
      <w:lvlJc w:val="left"/>
    </w:lvl>
    <w:lvl w:ilvl="8" w:tplc="D21AB2E0">
      <w:numFmt w:val="decimal"/>
      <w:lvlText w:val=""/>
      <w:lvlJc w:val="left"/>
    </w:lvl>
  </w:abstractNum>
  <w:abstractNum w:abstractNumId="3" w15:restartNumberingAfterBreak="0">
    <w:nsid w:val="44F4197F"/>
    <w:multiLevelType w:val="hybridMultilevel"/>
    <w:tmpl w:val="B19EA2EA"/>
    <w:lvl w:ilvl="0" w:tplc="6DFCE3BC">
      <w:start w:val="1"/>
      <w:numFmt w:val="decimal"/>
      <w:lvlText w:val="%1."/>
      <w:lvlJc w:val="left"/>
      <w:pPr>
        <w:tabs>
          <w:tab w:val="num" w:pos="900"/>
        </w:tabs>
        <w:ind w:left="540" w:hanging="360"/>
      </w:pPr>
    </w:lvl>
    <w:lvl w:ilvl="1" w:tplc="4C12D568">
      <w:numFmt w:val="decimal"/>
      <w:lvlText w:val=""/>
      <w:lvlJc w:val="left"/>
    </w:lvl>
    <w:lvl w:ilvl="2" w:tplc="70EEB658">
      <w:numFmt w:val="decimal"/>
      <w:lvlText w:val=""/>
      <w:lvlJc w:val="left"/>
    </w:lvl>
    <w:lvl w:ilvl="3" w:tplc="BB343994">
      <w:numFmt w:val="decimal"/>
      <w:lvlText w:val=""/>
      <w:lvlJc w:val="left"/>
    </w:lvl>
    <w:lvl w:ilvl="4" w:tplc="51242A7A">
      <w:numFmt w:val="decimal"/>
      <w:lvlText w:val=""/>
      <w:lvlJc w:val="left"/>
    </w:lvl>
    <w:lvl w:ilvl="5" w:tplc="DCF440C8">
      <w:numFmt w:val="decimal"/>
      <w:lvlText w:val=""/>
      <w:lvlJc w:val="left"/>
    </w:lvl>
    <w:lvl w:ilvl="6" w:tplc="A50C3272">
      <w:numFmt w:val="decimal"/>
      <w:lvlText w:val=""/>
      <w:lvlJc w:val="left"/>
    </w:lvl>
    <w:lvl w:ilvl="7" w:tplc="9C3877C4">
      <w:numFmt w:val="decimal"/>
      <w:lvlText w:val=""/>
      <w:lvlJc w:val="left"/>
    </w:lvl>
    <w:lvl w:ilvl="8" w:tplc="1714B1EA">
      <w:numFmt w:val="decimal"/>
      <w:lvlText w:val=""/>
      <w:lvlJc w:val="left"/>
    </w:lvl>
  </w:abstractNum>
  <w:num w:numId="1" w16cid:durableId="1546671883">
    <w:abstractNumId w:val="1"/>
  </w:num>
  <w:num w:numId="2" w16cid:durableId="1930187759">
    <w:abstractNumId w:val="0"/>
  </w:num>
  <w:num w:numId="3" w16cid:durableId="490023382">
    <w:abstractNumId w:val="2"/>
  </w:num>
  <w:num w:numId="4" w16cid:durableId="743990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D0B"/>
    <w:rsid w:val="00A75B66"/>
    <w:rsid w:val="00BA0D0B"/>
    <w:rsid w:val="00D808F0"/>
    <w:rsid w:val="00DC231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F407CE"/>
  <w15:docId w15:val="{E97476ED-B1D0-BC4B-AE2E-DCBE3BC0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486355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med.ncbi.nlm.nih.gov/984982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ionpeptides.org/product/ipamorelin-2-mg/" TargetMode="External"/><Relationship Id="rId11" Type="http://schemas.openxmlformats.org/officeDocument/2006/relationships/hyperlink" Target="https://pmc.ncbi.nlm.nih.gov/articles/PMC7108996/" TargetMode="External"/><Relationship Id="rId5" Type="http://schemas.openxmlformats.org/officeDocument/2006/relationships/hyperlink" Target="https://orionpeptides.org/product/ipamorelin-5-mg/" TargetMode="External"/><Relationship Id="rId10" Type="http://schemas.openxmlformats.org/officeDocument/2006/relationships/hyperlink" Target="https://pubmed.ncbi.nlm.nih.gov/20141583/" TargetMode="External"/><Relationship Id="rId4" Type="http://schemas.openxmlformats.org/officeDocument/2006/relationships/webSettings" Target="webSettings.xml"/><Relationship Id="rId9" Type="http://schemas.openxmlformats.org/officeDocument/2006/relationships/hyperlink" Target="https://clinicaltrials.gov/study/NCT01280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2172</Words>
  <Characters>12387</Characters>
  <Application>Microsoft Office Word</Application>
  <DocSecurity>0</DocSecurity>
  <Lines>103</Lines>
  <Paragraphs>29</Paragraphs>
  <ScaleCrop>false</ScaleCrop>
  <Company/>
  <LinksUpToDate>false</LinksUpToDate>
  <CharactersWithSpaces>14530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 MALHOTRA</cp:lastModifiedBy>
  <cp:revision>2</cp:revision>
  <dcterms:created xsi:type="dcterms:W3CDTF">2026-05-04T17:34:00Z</dcterms:created>
  <dcterms:modified xsi:type="dcterms:W3CDTF">2026-05-04T17:35:00Z</dcterms:modified>
</cp:coreProperties>
</file>