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2B2E0" w14:textId="6C417492" w:rsidR="00667FA2" w:rsidRDefault="00040686">
      <w:pPr>
        <w:spacing w:after="0" w:line="360" w:lineRule="auto"/>
      </w:pPr>
      <w:r w:rsidRPr="00040686">
        <w:t>https://orionpeptides.org/selank-peptide-dosage-benefits-results/</w:t>
      </w:r>
    </w:p>
    <w:p w14:paraId="47E526AC" w14:textId="77777777" w:rsidR="00667FA2"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3D097285" w14:textId="77777777" w:rsidR="00667FA2" w:rsidRDefault="00000000">
      <w:pPr>
        <w:spacing w:after="210" w:line="360" w:lineRule="auto"/>
      </w:pPr>
      <w:r>
        <w:rPr>
          <w:rFonts w:eastAsia="Georgia" w:hAnsi="Georgia" w:cs="Georgia"/>
          <w:color w:val="000000"/>
        </w:rPr>
        <w:t>Selank Peptide: Dosage, Benefits &amp; Results (2026 Guide)</w:t>
      </w:r>
      <w:r>
        <w:rPr>
          <w:rFonts w:eastAsia="Georgia" w:hAnsi="Georgia" w:cs="Georgia"/>
          <w:color w:val="000000"/>
        </w:rPr>
        <w:br/>
      </w:r>
      <w:hyperlink r:id="rId5">
        <w:r>
          <w:rPr>
            <w:rFonts w:ascii="Helvetica Neue" w:eastAsia="Helvetica Neue" w:hAnsi="Helvetica Neue" w:cs="Helvetica Neue"/>
            <w:u w:val="single"/>
          </w:rPr>
          <w:t>Selank </w:t>
        </w:r>
      </w:hyperlink>
      <w:r>
        <w:rPr>
          <w:rFonts w:eastAsia="Georgia" w:hAnsi="Georgia" w:cs="Georgia"/>
          <w:color w:val="000000"/>
        </w:rPr>
        <w:t>is a synthetic heptapeptide analog of tuftsin (Thr-Lys-Pro-Arg-Pro-Gly-Pro) synthesized in Russia and studied extensively for its anxiolytic, nootropic, immunomodulatory and stress-protective effects in laboratory as well as limited clinical models. It is involved in modulating enkephalin degradation, upregulating BDNF expression, modulating GABAergic neurotransmission, and altering the serotonergic and dopaminergic systems, thereby reducing anxiety-like behavior and promoting cognitive adaptation in experimental studies.</w:t>
      </w:r>
      <w:r>
        <w:rPr>
          <w:rFonts w:eastAsia="Georgia" w:hAnsi="Georgia" w:cs="Georgia"/>
          <w:color w:val="000000"/>
        </w:rPr>
        <w:br/>
        <w:t>Selank has been shown to modify the expression of genes involved in immune response, inflammation regulation, and neuronal plasticity, as well as generalized anxiety, chronic stress, alcohol withdrawal, and immune dysregulation models. The FDA has not approved it for any therapeutic use, and in the United States, it remains an investigational compound.</w:t>
      </w:r>
      <w:r>
        <w:rPr>
          <w:rFonts w:eastAsia="Georgia" w:hAnsi="Georgia" w:cs="Georgia"/>
          <w:color w:val="000000"/>
        </w:rPr>
        <w:br/>
        <w:t>Note: Selank is not FDA-approved for human consumption yet; it’s currently in use only in research studies.)</w:t>
      </w:r>
      <w:r>
        <w:rPr>
          <w:rFonts w:eastAsia="Georgia" w:hAnsi="Georgia" w:cs="Georgia"/>
          <w:color w:val="000000"/>
        </w:rPr>
        <w:br/>
        <w:t>Are You Interested in Researching Selank? </w:t>
      </w:r>
      <w:hyperlink r:id="rId6">
        <w:r>
          <w:rPr>
            <w:rFonts w:ascii="Helvetica Neue" w:eastAsia="Helvetica Neue" w:hAnsi="Helvetica Neue" w:cs="Helvetica Neue"/>
            <w:u w:val="single"/>
          </w:rPr>
          <w:t>Order Now</w:t>
        </w:r>
      </w:hyperlink>
      <w:r>
        <w:rPr>
          <w:rFonts w:eastAsia="Georgia" w:hAnsi="Georgia" w:cs="Georgia"/>
          <w:color w:val="000000"/>
        </w:rPr>
        <w:t>!</w:t>
      </w:r>
      <w:r>
        <w:rPr>
          <w:rFonts w:eastAsia="Georgia" w:hAnsi="Georgia" w:cs="Georgia"/>
          <w:color w:val="000000"/>
        </w:rPr>
        <w:br/>
        <w:t>How Does Selank Work: What Research Studies Find?</w:t>
      </w:r>
      <w:r>
        <w:rPr>
          <w:rFonts w:eastAsia="Georgia" w:hAnsi="Georgia" w:cs="Georgia"/>
          <w:color w:val="000000"/>
        </w:rPr>
        <w:br/>
        <w:t>Alterations in the central nervous system primarily mediate the effects of Selank. It inhibits enkephalin-degrading enzymes and is therefore likely to increase endogenous opioid tone, contributing to its anxiolytic features. Studies have shown that Selank modulates levels of brain-derived neurotrophic factor (BDNF) and its receptor, TrkB, in key brain regions, including the hippocampus and prefrontal cortex, thereby supporting synaptic plasticity and neuronal resilience.</w:t>
      </w:r>
      <w:r>
        <w:rPr>
          <w:rFonts w:eastAsia="Georgia" w:hAnsi="Georgia" w:cs="Georgia"/>
          <w:color w:val="000000"/>
        </w:rPr>
        <w:br/>
        <w:t>It modulates GABAergic neurotransmission by regulating gene expression of GABA receptor subunits and associated transporters. Selank regulates serotonin and dopamine without causing hormonal side effects. It also normalizes enkephalin and serotonin levels, lowers inflammation markers (e.g., IL-6), and promotes adaptation to chronic mild stress or alcohol withdrawal in stress models.</w:t>
      </w:r>
      <w:r>
        <w:rPr>
          <w:rFonts w:eastAsia="Georgia" w:hAnsi="Georgia" w:cs="Georgia"/>
          <w:color w:val="000000"/>
        </w:rPr>
        <w:br/>
        <w:t>In rat models, genome-wide analysis shows Selank regulates genes relevant for immune response, vascular function, and neurorepair. Flexible Installment Plan For Lending Multiple Collects for Niche Partners</w:t>
      </w:r>
      <w:r>
        <w:rPr>
          <w:rFonts w:eastAsia="Georgia" w:hAnsi="Georgia" w:cs="Georgia"/>
          <w:color w:val="000000"/>
        </w:rPr>
        <w:br/>
        <w:t>Therefore, these mechanisms render Selank a tool for studying the pathways of anxiety-related behavior, emotional regulation in the CNS, neurotrophic support, and immune–CNS interactions under controlled laboratory conditions.</w:t>
      </w:r>
      <w:r>
        <w:rPr>
          <w:rFonts w:eastAsia="Georgia" w:hAnsi="Georgia" w:cs="Georgia"/>
          <w:color w:val="000000"/>
        </w:rPr>
        <w:br/>
        <w:t>Selank Benefits (in research environment)</w:t>
      </w:r>
      <w:r>
        <w:rPr>
          <w:rFonts w:eastAsia="Georgia" w:hAnsi="Georgia" w:cs="Georgia"/>
          <w:color w:val="000000"/>
        </w:rPr>
        <w:br/>
        <w:t>Selank has been investigated in numerous preclinical and early clinical studies. Key observations from studies include:</w:t>
      </w:r>
    </w:p>
    <w:p w14:paraId="2E7B3095" w14:textId="77777777" w:rsidR="00667FA2" w:rsidRDefault="00000000">
      <w:pPr>
        <w:numPr>
          <w:ilvl w:val="0"/>
          <w:numId w:val="1"/>
        </w:numPr>
        <w:spacing w:before="105" w:after="105" w:line="360" w:lineRule="auto"/>
      </w:pPr>
      <w:r>
        <w:rPr>
          <w:rFonts w:eastAsia="Georgia" w:hAnsi="Georgia" w:cs="Georgia"/>
          <w:color w:val="000000"/>
        </w:rPr>
        <w:lastRenderedPageBreak/>
        <w:t>Reduces Anxiety-Like Behavior</w:t>
      </w:r>
      <w:r>
        <w:rPr>
          <w:rFonts w:eastAsia="Georgia" w:hAnsi="Georgia" w:cs="Georgia"/>
          <w:color w:val="000000"/>
        </w:rPr>
        <w:br/>
        <w:t>In rodent models (elevated plus-maze and open-field tests), Selank reduces signs of anxiety without sedative or muscle-relaxant effects. It also prevents mechanical allodynia and emotional dysregulation, through normalizing behaviors in chronic mild stress and alcohol withdrawal paradigms.</w:t>
      </w:r>
    </w:p>
    <w:p w14:paraId="47039CEB" w14:textId="77777777" w:rsidR="00667FA2" w:rsidRDefault="00000000">
      <w:pPr>
        <w:numPr>
          <w:ilvl w:val="0"/>
          <w:numId w:val="1"/>
        </w:numPr>
        <w:spacing w:before="105" w:after="105" w:line="360" w:lineRule="auto"/>
      </w:pPr>
      <w:r>
        <w:rPr>
          <w:rFonts w:eastAsia="Georgia" w:hAnsi="Georgia" w:cs="Georgia"/>
          <w:color w:val="000000"/>
        </w:rPr>
        <w:t>Enhances Cognitive and Learning Markers</w:t>
      </w:r>
      <w:r>
        <w:rPr>
          <w:rFonts w:eastAsia="Georgia" w:hAnsi="Georgia" w:cs="Georgia"/>
          <w:color w:val="000000"/>
        </w:rPr>
        <w:br/>
        <w:t>Selank is a known enhancer of attention, memory consolidation, and learning efficiency in behavioral paradigms. It aids in the rapid acquisition of conditioned responses. It improves retention during tasks that measure activity in mazes or object recognition. Moderate nootropic effects are found when exposed to stressors.</w:t>
      </w:r>
    </w:p>
    <w:p w14:paraId="70A7C693" w14:textId="77777777" w:rsidR="00667FA2" w:rsidRDefault="00000000">
      <w:pPr>
        <w:numPr>
          <w:ilvl w:val="0"/>
          <w:numId w:val="1"/>
        </w:numPr>
        <w:spacing w:before="105" w:after="105" w:line="360" w:lineRule="auto"/>
      </w:pPr>
      <w:r>
        <w:rPr>
          <w:rFonts w:eastAsia="Georgia" w:hAnsi="Georgia" w:cs="Georgia"/>
          <w:color w:val="000000"/>
        </w:rPr>
        <w:t>Upregulates BDNF and Neurotrophic Pathways</w:t>
      </w:r>
      <w:r>
        <w:rPr>
          <w:rFonts w:eastAsia="Georgia" w:hAnsi="Georgia" w:cs="Georgia"/>
          <w:color w:val="000000"/>
        </w:rPr>
        <w:br/>
        <w:t>Selank also induces BDNF and TrkB expressions in the hippocampus and prefrontal cortex, enhancing synaptic plasticity, dendritic remodeling, and neuronal survival. This promotes cognitive resilience and long-term potentiation in laboratory animals.</w:t>
      </w:r>
    </w:p>
    <w:p w14:paraId="6F79E21F" w14:textId="77777777" w:rsidR="00667FA2" w:rsidRDefault="00000000">
      <w:pPr>
        <w:numPr>
          <w:ilvl w:val="0"/>
          <w:numId w:val="1"/>
        </w:numPr>
        <w:spacing w:before="105" w:after="105" w:line="360" w:lineRule="auto"/>
      </w:pPr>
      <w:r>
        <w:rPr>
          <w:rFonts w:eastAsia="Georgia" w:hAnsi="Georgia" w:cs="Georgia"/>
          <w:color w:val="000000"/>
        </w:rPr>
        <w:t>Modulates Stress Response and Adaptation</w:t>
      </w:r>
      <w:r>
        <w:rPr>
          <w:rFonts w:eastAsia="Georgia" w:hAnsi="Georgia" w:cs="Georgia"/>
          <w:color w:val="000000"/>
        </w:rPr>
        <w:br/>
        <w:t>In prolonged stress, Selank brought enkephalin and serotonin levels into the normal range, reduced anxiety-like behavior, and increased emotional stability. It promotes the adaptation to unpredictable mild stress, suppressing hyperactivity induced by opiate withdrawal.</w:t>
      </w:r>
    </w:p>
    <w:p w14:paraId="31E4AEAE" w14:textId="77777777" w:rsidR="00667FA2" w:rsidRDefault="00000000">
      <w:pPr>
        <w:numPr>
          <w:ilvl w:val="0"/>
          <w:numId w:val="1"/>
        </w:numPr>
        <w:spacing w:before="105" w:after="105" w:line="360" w:lineRule="auto"/>
      </w:pPr>
      <w:r>
        <w:rPr>
          <w:rFonts w:eastAsia="Georgia" w:hAnsi="Georgia" w:cs="Georgia"/>
          <w:color w:val="000000"/>
        </w:rPr>
        <w:t>Supports Immunomodulation and Anti-Inflammatory Effects</w:t>
      </w:r>
      <w:r>
        <w:rPr>
          <w:rFonts w:eastAsia="Georgia" w:hAnsi="Georgia" w:cs="Georgia"/>
          <w:color w:val="000000"/>
        </w:rPr>
        <w:br/>
        <w:t>Selank modulates IL-6 pathways through reduction of pro-inflammatory signalling and maintenance of immune homeostasis in models of immune challenge or stress. It has newborn- and user-induced doping effects, which may correct immune dysregulation and inflammation-related neuronal alterations.</w:t>
      </w:r>
      <w:r>
        <w:rPr>
          <w:rFonts w:eastAsia="Georgia" w:hAnsi="Georgia" w:cs="Georgia"/>
          <w:color w:val="000000"/>
        </w:rPr>
        <w:br/>
        <w:t>Disclaimer: These benefits are still to be tested on human beings; mostly limited to studies in animals or other research models. Selank is not FDA-approved for human consumption.</w:t>
      </w:r>
      <w:r>
        <w:rPr>
          <w:rFonts w:eastAsia="Georgia" w:hAnsi="Georgia" w:cs="Georgia"/>
          <w:color w:val="000000"/>
        </w:rPr>
        <w:br/>
      </w:r>
      <w:hyperlink r:id="rId7">
        <w:r>
          <w:rPr>
            <w:rFonts w:ascii="Helvetica Neue" w:eastAsia="Helvetica Neue" w:hAnsi="Helvetica Neue" w:cs="Helvetica Neue"/>
            <w:u w:val="single"/>
          </w:rPr>
          <w:t>Start your research with Selank now!</w:t>
        </w:r>
      </w:hyperlink>
      <w:r>
        <w:rPr>
          <w:rFonts w:eastAsia="Georgia" w:hAnsi="Georgia" w:cs="Georgia"/>
          <w:color w:val="000000"/>
        </w:rPr>
        <w:br/>
        <w:t>Selank Dosage: Under Research Conditions</w:t>
      </w:r>
      <w:r>
        <w:rPr>
          <w:rFonts w:eastAsia="Georgia" w:hAnsi="Georgia" w:cs="Georgia"/>
          <w:color w:val="000000"/>
        </w:rPr>
        <w:br/>
        <w:t>Medically, Selank is typically provided as a lyophilized powder for research purposes (e.g., 10 mg or 30 mg vials) and reconstituted for laboratory use. Studies use low doses to activate specific pathways, with limited nonspecific effects.</w:t>
      </w:r>
      <w:r>
        <w:rPr>
          <w:rFonts w:eastAsia="Georgia" w:hAnsi="Georgia" w:cs="Georgia"/>
          <w:color w:val="000000"/>
        </w:rPr>
        <w:br/>
        <w:t>Standard Quantitative Range</w:t>
      </w:r>
      <w:r>
        <w:rPr>
          <w:rFonts w:eastAsia="Georgia" w:hAnsi="Georgia" w:cs="Georgia"/>
          <w:color w:val="000000"/>
        </w:rPr>
        <w:br/>
        <w:t>Active doses in preclinical animal studies: 100–600 μg/kg (intranasal or systemic)</w:t>
      </w:r>
      <w:r>
        <w:rPr>
          <w:rFonts w:eastAsia="Georgia" w:hAnsi="Georgia" w:cs="Georgia"/>
          <w:color w:val="000000"/>
        </w:rPr>
        <w:br/>
        <w:t>Typical research dose: 200–500 μg/kg per administration</w:t>
      </w:r>
      <w:r>
        <w:rPr>
          <w:rFonts w:eastAsia="Georgia" w:hAnsi="Georgia" w:cs="Georgia"/>
          <w:color w:val="000000"/>
        </w:rPr>
        <w:br/>
        <w:t>Goal: Obtain anxiolytic/neurotrophic signaling w/o overstimulation</w:t>
      </w:r>
      <w:r>
        <w:rPr>
          <w:rFonts w:eastAsia="Georgia" w:hAnsi="Georgia" w:cs="Georgia"/>
          <w:color w:val="000000"/>
        </w:rPr>
        <w:br/>
        <w:t>Initial Calibration (Baseline Phase)</w:t>
      </w:r>
      <w:r>
        <w:rPr>
          <w:rFonts w:eastAsia="Georgia" w:hAnsi="Georgia" w:cs="Georgia"/>
          <w:color w:val="000000"/>
        </w:rPr>
        <w:br/>
      </w:r>
      <w:r>
        <w:rPr>
          <w:rFonts w:eastAsia="Georgia" w:hAnsi="Georgia" w:cs="Georgia"/>
          <w:color w:val="000000"/>
        </w:rPr>
        <w:lastRenderedPageBreak/>
        <w:t>Initial dose: Low end (e.g., 100–300 μg/kg intranasal)</w:t>
      </w:r>
      <w:r>
        <w:rPr>
          <w:rFonts w:eastAsia="Georgia" w:hAnsi="Georgia" w:cs="Georgia"/>
          <w:color w:val="000000"/>
        </w:rPr>
        <w:br/>
        <w:t>Dosage: either as a single or repeated low-dose administration</w:t>
      </w:r>
      <w:r>
        <w:rPr>
          <w:rFonts w:eastAsia="Georgia" w:hAnsi="Georgia" w:cs="Georgia"/>
          <w:color w:val="000000"/>
        </w:rPr>
        <w:br/>
        <w:t>Justification: Ace dose-response curve, prevents acute behavioral or biochemical changes, and prohibits desensitization</w:t>
      </w:r>
      <w:r>
        <w:rPr>
          <w:rFonts w:eastAsia="Georgia" w:hAnsi="Georgia" w:cs="Georgia"/>
          <w:color w:val="000000"/>
        </w:rPr>
        <w:br/>
        <w:t>Maintenance and Longitudinal Observation</w:t>
      </w:r>
      <w:r>
        <w:rPr>
          <w:rFonts w:eastAsia="Georgia" w:hAnsi="Georgia" w:cs="Georgia"/>
          <w:color w:val="000000"/>
        </w:rPr>
        <w:br/>
        <w:t>Dose: Target dosing is 300–500 μg/kg per day or every other day</w:t>
      </w:r>
      <w:r>
        <w:rPr>
          <w:rFonts w:eastAsia="Georgia" w:hAnsi="Georgia" w:cs="Georgia"/>
          <w:color w:val="000000"/>
        </w:rPr>
        <w:br/>
        <w:t>Treatment duration: 5–14 days in chronic models; up to 4–8 weeks in longitudinal studies.</w:t>
      </w:r>
      <w:r>
        <w:rPr>
          <w:rFonts w:eastAsia="Georgia" w:hAnsi="Georgia" w:cs="Georgia"/>
          <w:color w:val="000000"/>
        </w:rPr>
        <w:br/>
        <w:t>Rationale: Facilitate ongoing, steady-state modulation of enkephalin, BDNF and GABA systems; monitor cumulative effects across time on behavior and gene expression</w:t>
      </w:r>
      <w:r>
        <w:rPr>
          <w:rFonts w:eastAsia="Georgia" w:hAnsi="Georgia" w:cs="Georgia"/>
          <w:color w:val="000000"/>
        </w:rPr>
        <w:br/>
        <w:t>Research Application of Selank: Preparation and Use</w:t>
      </w:r>
      <w:r>
        <w:rPr>
          <w:rFonts w:eastAsia="Georgia" w:hAnsi="Georgia" w:cs="Georgia"/>
          <w:color w:val="000000"/>
        </w:rPr>
        <w:br/>
        <w:t>This is important because improper reconstitution and handling can cause peptide instability, resulting in inaccurate experimental results.</w:t>
      </w:r>
    </w:p>
    <w:p w14:paraId="2D0E26F3" w14:textId="77777777" w:rsidR="00667FA2" w:rsidRDefault="00000000">
      <w:pPr>
        <w:numPr>
          <w:ilvl w:val="0"/>
          <w:numId w:val="1"/>
        </w:numPr>
        <w:spacing w:before="105" w:after="105" w:line="360" w:lineRule="auto"/>
      </w:pPr>
      <w:r>
        <w:rPr>
          <w:rFonts w:eastAsia="Georgia" w:hAnsi="Georgia" w:cs="Georgia"/>
          <w:color w:val="000000"/>
        </w:rPr>
        <w:t>Supplies Needed Before Mixing</w:t>
      </w:r>
      <w:r>
        <w:rPr>
          <w:rFonts w:eastAsia="Georgia" w:hAnsi="Georgia" w:cs="Georgia"/>
          <w:color w:val="000000"/>
        </w:rPr>
        <w:br/>
        <w:t>Bottle of Selank (e.g., 10 mg or 30 mg lyophilized)</w:t>
      </w:r>
      <w:r>
        <w:rPr>
          <w:rFonts w:eastAsia="Georgia" w:hAnsi="Georgia" w:cs="Georgia"/>
          <w:color w:val="000000"/>
        </w:rPr>
        <w:br/>
        <w:t>Sterile bacteriostatic water or normal saline</w:t>
      </w:r>
      <w:r>
        <w:rPr>
          <w:rFonts w:eastAsia="Georgia" w:hAnsi="Georgia" w:cs="Georgia"/>
          <w:color w:val="000000"/>
        </w:rPr>
        <w:br/>
        <w:t>Alcohol swabs</w:t>
      </w:r>
      <w:r>
        <w:rPr>
          <w:rFonts w:eastAsia="Georgia" w:hAnsi="Georgia" w:cs="Georgia"/>
          <w:color w:val="000000"/>
        </w:rPr>
        <w:br/>
        <w:t>Sterile syringe (insulin syringe, etc.)</w:t>
      </w:r>
      <w:r>
        <w:rPr>
          <w:rFonts w:eastAsia="Georgia" w:hAnsi="Georgia" w:cs="Georgia"/>
          <w:color w:val="000000"/>
        </w:rPr>
        <w:br/>
        <w:t>Clean, sanitized workspace</w:t>
      </w:r>
    </w:p>
    <w:p w14:paraId="12F8F4AC" w14:textId="77777777" w:rsidR="00667FA2" w:rsidRDefault="00000000">
      <w:pPr>
        <w:numPr>
          <w:ilvl w:val="0"/>
          <w:numId w:val="1"/>
        </w:numPr>
        <w:spacing w:before="105" w:after="105" w:line="360" w:lineRule="auto"/>
      </w:pPr>
      <w:r>
        <w:rPr>
          <w:rFonts w:eastAsia="Georgia" w:hAnsi="Georgia" w:cs="Georgia"/>
          <w:color w:val="000000"/>
        </w:rPr>
        <w:t>Step-by-Step Reconstitution Process</w:t>
      </w:r>
      <w:r>
        <w:rPr>
          <w:rFonts w:eastAsia="Georgia" w:hAnsi="Georgia" w:cs="Georgia"/>
          <w:color w:val="000000"/>
        </w:rPr>
        <w:br/>
        <w:t>Before drawing, wipe the vial tops with alcohol swabs.</w:t>
      </w:r>
      <w:r>
        <w:rPr>
          <w:rFonts w:eastAsia="Georgia" w:hAnsi="Georgia" w:cs="Georgia"/>
          <w:color w:val="000000"/>
        </w:rPr>
        <w:br/>
        <w:t>Draw an appropriate amount of bacteriostatic water into a syringe (usually between 1 and 2 mL, depending on vial size).</w:t>
      </w:r>
      <w:r>
        <w:rPr>
          <w:rFonts w:eastAsia="Georgia" w:hAnsi="Georgia" w:cs="Georgia"/>
          <w:color w:val="000000"/>
        </w:rPr>
        <w:br/>
        <w:t>Inject water slowly along the wall of the vial to avoid foaming.</w:t>
      </w:r>
      <w:r>
        <w:rPr>
          <w:rFonts w:eastAsia="Georgia" w:hAnsi="Georgia" w:cs="Georgia"/>
          <w:color w:val="000000"/>
        </w:rPr>
        <w:br/>
        <w:t>Gently swirl (do not shake) until fully dissolved and the solution is clear.</w:t>
      </w:r>
      <w:r>
        <w:rPr>
          <w:rFonts w:eastAsia="Georgia" w:hAnsi="Georgia" w:cs="Georgia"/>
          <w:color w:val="000000"/>
        </w:rPr>
        <w:br/>
        <w:t>Store reconstituted vial at 2–8°C and protect from light</w:t>
      </w:r>
      <w:r>
        <w:rPr>
          <w:rFonts w:eastAsia="Georgia" w:hAnsi="Georgia" w:cs="Georgia"/>
          <w:color w:val="000000"/>
        </w:rPr>
        <w:br/>
        <w:t>Selank: Anticipated Timeline and Outcomes</w:t>
      </w:r>
      <w:r>
        <w:rPr>
          <w:rFonts w:eastAsia="Georgia" w:hAnsi="Georgia" w:cs="Georgia"/>
          <w:color w:val="000000"/>
        </w:rPr>
        <w:br/>
        <w:t>Research timelines differ by model, route, dose, and endpoint. Effects are usually seen quickly because the drug has a direct CNS action and is an enkephalin-engendered affecting agent.</w:t>
      </w:r>
      <w:r>
        <w:rPr>
          <w:rFonts w:eastAsia="Georgia" w:hAnsi="Georgia" w:cs="Georgia"/>
          <w:color w:val="000000"/>
        </w:rPr>
        <w:br/>
        <w:t>Phase 1: Initial Response (Days 1–7)</w:t>
      </w:r>
      <w:r>
        <w:rPr>
          <w:rFonts w:eastAsia="Georgia" w:hAnsi="Georgia" w:cs="Georgia"/>
          <w:color w:val="000000"/>
        </w:rPr>
        <w:br/>
        <w:t>Acute modulation of enkephalin, serotonin, and GABA systems</w:t>
      </w:r>
      <w:r>
        <w:rPr>
          <w:rFonts w:eastAsia="Georgia" w:hAnsi="Georgia" w:cs="Georgia"/>
          <w:color w:val="000000"/>
        </w:rPr>
        <w:br/>
        <w:t>Significant reductions in anxiety-like behavior and biomarkers of stress</w:t>
      </w:r>
      <w:r>
        <w:rPr>
          <w:rFonts w:eastAsia="Georgia" w:hAnsi="Georgia" w:cs="Georgia"/>
          <w:color w:val="000000"/>
        </w:rPr>
        <w:br/>
        <w:t>Rapid BDNF upregulation and gene regulatory changes in an animal model of stress</w:t>
      </w:r>
      <w:r>
        <w:rPr>
          <w:rFonts w:eastAsia="Georgia" w:hAnsi="Georgia" w:cs="Georgia"/>
          <w:color w:val="000000"/>
        </w:rPr>
        <w:br/>
        <w:t>Phase Two: Structural Integration (1–3 Weeks)</w:t>
      </w:r>
      <w:r>
        <w:rPr>
          <w:rFonts w:eastAsia="Georgia" w:hAnsi="Georgia" w:cs="Georgia"/>
          <w:color w:val="000000"/>
        </w:rPr>
        <w:br/>
        <w:t>Enhance neuronal synaptic plasticity and neurotrophic signaling</w:t>
      </w:r>
      <w:r>
        <w:rPr>
          <w:rFonts w:eastAsia="Georgia" w:hAnsi="Georgia" w:cs="Georgia"/>
          <w:color w:val="000000"/>
        </w:rPr>
        <w:br/>
        <w:t>Improved cognitive performance and emotional adaptation in behavioral assays</w:t>
      </w:r>
      <w:r>
        <w:rPr>
          <w:rFonts w:eastAsia="Georgia" w:hAnsi="Georgia" w:cs="Georgia"/>
          <w:color w:val="000000"/>
        </w:rPr>
        <w:br/>
        <w:t>Decreased inflammation and withdrawal-induced hyperalgesia</w:t>
      </w:r>
      <w:r>
        <w:rPr>
          <w:rFonts w:eastAsia="Georgia" w:hAnsi="Georgia" w:cs="Georgia"/>
          <w:color w:val="000000"/>
        </w:rPr>
        <w:br/>
      </w:r>
      <w:r>
        <w:rPr>
          <w:rFonts w:eastAsia="Georgia" w:hAnsi="Georgia" w:cs="Georgia"/>
          <w:color w:val="000000"/>
        </w:rPr>
        <w:lastRenderedPageBreak/>
        <w:t>Phase 3: Development and Optimization (4–8 Weeks)</w:t>
      </w:r>
      <w:r>
        <w:rPr>
          <w:rFonts w:eastAsia="Georgia" w:hAnsi="Georgia" w:cs="Georgia"/>
          <w:color w:val="000000"/>
        </w:rPr>
        <w:br/>
        <w:t>Maximum anxiolytic and nootropic effects</w:t>
      </w:r>
      <w:r>
        <w:rPr>
          <w:rFonts w:eastAsia="Georgia" w:hAnsi="Georgia" w:cs="Georgia"/>
          <w:color w:val="000000"/>
        </w:rPr>
        <w:br/>
        <w:t>Long-lasting behavioral changes in models of chronic stress or impairment</w:t>
      </w:r>
      <w:r>
        <w:rPr>
          <w:rFonts w:eastAsia="Georgia" w:hAnsi="Georgia" w:cs="Georgia"/>
          <w:color w:val="000000"/>
        </w:rPr>
        <w:br/>
        <w:t>Immune–CNS interactions and neuronal resilience at maximal modulation</w:t>
      </w:r>
      <w:r>
        <w:rPr>
          <w:rFonts w:eastAsia="Georgia" w:hAnsi="Georgia" w:cs="Georgia"/>
          <w:color w:val="000000"/>
        </w:rPr>
        <w:br/>
        <w:t>Phase 4: Longitudinal Sustained Maintenance and Stability</w:t>
      </w:r>
      <w:r>
        <w:rPr>
          <w:rFonts w:eastAsia="Georgia" w:hAnsi="Georgia" w:cs="Georgia"/>
          <w:color w:val="000000"/>
        </w:rPr>
        <w:br/>
        <w:t>Steady dosing of the surrounding pathway support</w:t>
      </w:r>
      <w:r>
        <w:rPr>
          <w:rFonts w:eastAsia="Georgia" w:hAnsi="Georgia" w:cs="Georgia"/>
          <w:color w:val="000000"/>
        </w:rPr>
        <w:br/>
        <w:t>In some models, it prevents regression on withdrawal</w:t>
      </w:r>
      <w:r>
        <w:rPr>
          <w:rFonts w:eastAsia="Georgia" w:hAnsi="Georgia" w:cs="Georgia"/>
          <w:color w:val="000000"/>
        </w:rPr>
        <w:br/>
        <w:t>Chronic adaptation of gene expression and stress responses.</w:t>
      </w:r>
      <w:r>
        <w:rPr>
          <w:rFonts w:eastAsia="Georgia" w:hAnsi="Georgia" w:cs="Georgia"/>
          <w:color w:val="000000"/>
        </w:rPr>
        <w:br/>
        <w:t>Referenced Studies</w:t>
      </w:r>
      <w:r>
        <w:rPr>
          <w:rFonts w:eastAsia="Georgia" w:hAnsi="Georgia" w:cs="Georgia"/>
          <w:color w:val="000000"/>
        </w:rPr>
        <w:br/>
        <w:t>1. </w:t>
      </w:r>
      <w:hyperlink r:id="rId8">
        <w:r>
          <w:rPr>
            <w:rFonts w:ascii="Helvetica Neue" w:eastAsia="Helvetica Neue" w:hAnsi="Helvetica Neue" w:cs="Helvetica Neue"/>
            <w:u w:val="single"/>
          </w:rPr>
          <w:t>https://pmc.ncbi.nlm.nih.gov/articles/PMC5322660/</w:t>
        </w:r>
      </w:hyperlink>
      <w:r>
        <w:rPr>
          <w:rFonts w:eastAsia="Georgia" w:hAnsi="Georgia" w:cs="Georgia"/>
          <w:color w:val="000000"/>
        </w:rPr>
        <w:t>  </w:t>
      </w:r>
      <w:r>
        <w:rPr>
          <w:rFonts w:eastAsia="Georgia" w:hAnsi="Georgia" w:cs="Georgia"/>
          <w:color w:val="000000"/>
        </w:rPr>
        <w:br/>
        <w:t>2. </w:t>
      </w:r>
      <w:hyperlink r:id="rId9">
        <w:r>
          <w:rPr>
            <w:rFonts w:ascii="Helvetica Neue" w:eastAsia="Helvetica Neue" w:hAnsi="Helvetica Neue" w:cs="Helvetica Neue"/>
            <w:u w:val="single"/>
          </w:rPr>
          <w:t>https://pmc.ncbi.nlm.nih.gov/articles/PMC4757669/  </w:t>
        </w:r>
      </w:hyperlink>
      <w:r>
        <w:rPr>
          <w:rFonts w:eastAsia="Georgia" w:hAnsi="Georgia" w:cs="Georgia"/>
          <w:color w:val="000000"/>
        </w:rPr>
        <w:br/>
        <w:t>3. </w:t>
      </w:r>
      <w:hyperlink r:id="rId10">
        <w:r>
          <w:rPr>
            <w:rFonts w:ascii="Helvetica Neue" w:eastAsia="Helvetica Neue" w:hAnsi="Helvetica Neue" w:cs="Helvetica Neue"/>
            <w:u w:val="single"/>
          </w:rPr>
          <w:t>https://pubmed.ncbi.nlm.nih.gov/16996037/</w:t>
        </w:r>
      </w:hyperlink>
      <w:r>
        <w:rPr>
          <w:rFonts w:eastAsia="Georgia" w:hAnsi="Georgia" w:cs="Georgia"/>
          <w:color w:val="000000"/>
        </w:rPr>
        <w:t>  </w:t>
      </w:r>
      <w:r>
        <w:rPr>
          <w:rFonts w:eastAsia="Georgia" w:hAnsi="Georgia" w:cs="Georgia"/>
          <w:color w:val="000000"/>
        </w:rPr>
        <w:br/>
        <w:t>4.</w:t>
      </w:r>
      <w:hyperlink r:id="rId11">
        <w:r>
          <w:rPr>
            <w:rFonts w:ascii="Helvetica Neue" w:eastAsia="Helvetica Neue" w:hAnsi="Helvetica Neue" w:cs="Helvetica Neue"/>
            <w:u w:val="single"/>
          </w:rPr>
          <w:t> https://pmc.ncbi.nlm.nih.gov/articles/PMC3987924/ </w:t>
        </w:r>
      </w:hyperlink>
      <w:r>
        <w:rPr>
          <w:rFonts w:eastAsia="Georgia" w:hAnsi="Georgia" w:cs="Georgia"/>
          <w:color w:val="000000"/>
        </w:rPr>
        <w:t> </w:t>
      </w:r>
      <w:r>
        <w:rPr>
          <w:rFonts w:eastAsia="Georgia" w:hAnsi="Georgia" w:cs="Georgia"/>
          <w:color w:val="000000"/>
        </w:rPr>
        <w:br/>
        <w:t>5.</w:t>
      </w:r>
      <w:hyperlink r:id="rId12">
        <w:r>
          <w:rPr>
            <w:rFonts w:ascii="Helvetica Neue" w:eastAsia="Helvetica Neue" w:hAnsi="Helvetica Neue" w:cs="Helvetica Neue"/>
            <w:u w:val="single"/>
          </w:rPr>
          <w:t> https://pubmed.ncbi.nlm.nih.gov/25176261/ </w:t>
        </w:r>
      </w:hyperlink>
      <w:r>
        <w:rPr>
          <w:rFonts w:eastAsia="Georgia" w:hAnsi="Georgia" w:cs="Georgia"/>
          <w:color w:val="000000"/>
        </w:rPr>
        <w:t> </w:t>
      </w:r>
      <w:r>
        <w:rPr>
          <w:rFonts w:eastAsia="Georgia" w:hAnsi="Georgia" w:cs="Georgia"/>
          <w:color w:val="000000"/>
        </w:rPr>
        <w:br/>
        <w:t>6.</w:t>
      </w:r>
      <w:hyperlink r:id="rId13">
        <w:r>
          <w:rPr>
            <w:rFonts w:ascii="Helvetica Neue" w:eastAsia="Helvetica Neue" w:hAnsi="Helvetica Neue" w:cs="Helvetica Neue"/>
            <w:u w:val="single"/>
          </w:rPr>
          <w:t> https://pmc.ncbi.nlm.nih.gov/articles/PMC5328971/</w:t>
        </w:r>
      </w:hyperlink>
      <w:r>
        <w:rPr>
          <w:rFonts w:eastAsia="Georgia" w:hAnsi="Georgia" w:cs="Georgia"/>
          <w:color w:val="000000"/>
        </w:rPr>
        <w:t>  </w:t>
      </w:r>
      <w:r>
        <w:rPr>
          <w:rFonts w:eastAsia="Georgia" w:hAnsi="Georgia" w:cs="Georgia"/>
          <w:color w:val="000000"/>
        </w:rPr>
        <w:br/>
        <w:t>7.</w:t>
      </w:r>
      <w:hyperlink r:id="rId14">
        <w:r>
          <w:rPr>
            <w:rFonts w:ascii="Helvetica Neue" w:eastAsia="Helvetica Neue" w:hAnsi="Helvetica Neue" w:cs="Helvetica Neue"/>
            <w:u w:val="single"/>
          </w:rPr>
          <w:t> https://pubmed.ncbi.nlm.nih.gov/32342318/</w:t>
        </w:r>
      </w:hyperlink>
    </w:p>
    <w:p w14:paraId="73CF2D64" w14:textId="77777777" w:rsidR="00667FA2" w:rsidRDefault="00000000">
      <w:pPr>
        <w:spacing w:after="210" w:line="360" w:lineRule="auto"/>
      </w:pPr>
      <w:r>
        <w:rPr>
          <w:rFonts w:eastAsia="Georgia" w:hAnsi="Georgia" w:cs="Georgia"/>
          <w:color w:val="000000"/>
        </w:rPr>
        <w:t>Here’s a cleaner, more compliant blog version of your Selank draft. Selank is a Russian-developed heptapeptide studied in preclinical and limited clinical settings for anxiolytic, nootropic, stress-related, and immunomodulatory effects, with evidence pointing to GABAergic modulation, enkephalin-related effects, and broader gene-expression changes.</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6E0D5D65" w14:textId="77777777" w:rsidR="00667FA2" w:rsidRDefault="00000000">
      <w:pPr>
        <w:spacing w:before="315" w:after="105" w:line="360" w:lineRule="auto"/>
        <w:ind w:left="-30"/>
      </w:pPr>
      <w:bookmarkStart w:id="4" w:name="selank_peptide"/>
      <w:r>
        <w:rPr>
          <w:rFonts w:eastAsia="Georgia" w:hAnsi="Georgia" w:cs="Georgia"/>
          <w:b/>
          <w:color w:val="000000"/>
          <w:sz w:val="24"/>
        </w:rPr>
        <w:t>Selank Peptide</w:t>
      </w:r>
      <w:bookmarkEnd w:id="4"/>
    </w:p>
    <w:p w14:paraId="11C4E681" w14:textId="77777777" w:rsidR="00667FA2" w:rsidRDefault="00000000">
      <w:pPr>
        <w:spacing w:after="210" w:line="360" w:lineRule="auto"/>
      </w:pPr>
      <w:r>
        <w:rPr>
          <w:rFonts w:eastAsia="Georgia" w:hAnsi="Georgia" w:cs="Georgia"/>
          <w:color w:val="000000"/>
        </w:rPr>
        <w:t>Selank is a synthetic heptapeptide analog of tuftsin that has been studied for anxiety-related behavior, stress adaptation, and cognitive support in research models. The most defensible way to describe it is as a research peptide with proposed effects on GABAergic signaling, enkephalin turnover, neurotrophic pathways, and immune-related gene expression. It is not FDA-approved for human use in the United States and should be presented as investigational only.</w:t>
      </w:r>
      <w:bookmarkStart w:id="5" w:name="fnref1_1"/>
      <w:bookmarkEnd w:id="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6" w:name="fnref4"/>
      <w:bookmarkEnd w:id="6"/>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7" w:name="fnref3_1"/>
      <w:bookmarkEnd w:id="7"/>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 w:name="fnref5"/>
      <w:bookmarkEnd w:id="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9" w:name="fnref6"/>
      <w:bookmarkEnd w:id="9"/>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0" w:name="fnref7"/>
      <w:bookmarkEnd w:id="10"/>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49CB8B40" w14:textId="77777777" w:rsidR="00667FA2" w:rsidRDefault="00000000">
      <w:pPr>
        <w:spacing w:before="315" w:after="105" w:line="360" w:lineRule="auto"/>
        <w:ind w:left="-30"/>
      </w:pPr>
      <w:bookmarkStart w:id="11" w:name="how_it_works"/>
      <w:r>
        <w:rPr>
          <w:rFonts w:eastAsia="Georgia" w:hAnsi="Georgia" w:cs="Georgia"/>
          <w:b/>
          <w:color w:val="000000"/>
          <w:sz w:val="24"/>
        </w:rPr>
        <w:t>How It Works</w:t>
      </w:r>
      <w:bookmarkEnd w:id="11"/>
    </w:p>
    <w:p w14:paraId="20A9EC6B" w14:textId="77777777" w:rsidR="00667FA2" w:rsidRDefault="00000000">
      <w:pPr>
        <w:spacing w:after="210" w:line="360" w:lineRule="auto"/>
      </w:pPr>
      <w:r>
        <w:rPr>
          <w:rFonts w:eastAsia="Georgia" w:hAnsi="Georgia" w:cs="Georgia"/>
          <w:color w:val="000000"/>
        </w:rPr>
        <w:t>Your mechanism section is broadly on the right track, but it should be made more cautious. Published work suggests Selank influences the GABA system, alters expression of genes involved in neurotransmission, and may affect neuroplasticity-related pathways such as BDNF/TrkB in some experimental models. It is also associated with changes in immune and stress-response gene expression, which is why it is often discussed as a peptide that links the nervous system and immune system.</w:t>
      </w:r>
      <w:bookmarkStart w:id="12" w:name="fnref1_2"/>
      <w:bookmarkEnd w:id="1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3" w:name="fnref4_1"/>
      <w:bookmarkEnd w:id="13"/>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14" w:name="fnref3_2"/>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5" w:name="fnref6_1"/>
      <w:bookmarkEnd w:id="15"/>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31DF9A5E" w14:textId="77777777" w:rsidR="00667FA2" w:rsidRDefault="00000000">
      <w:pPr>
        <w:spacing w:before="315" w:after="105" w:line="360" w:lineRule="auto"/>
        <w:ind w:left="-30"/>
      </w:pPr>
      <w:bookmarkStart w:id="16" w:name="research_benefits"/>
      <w:r>
        <w:rPr>
          <w:rFonts w:eastAsia="Georgia" w:hAnsi="Georgia" w:cs="Georgia"/>
          <w:b/>
          <w:color w:val="000000"/>
          <w:sz w:val="24"/>
        </w:rPr>
        <w:lastRenderedPageBreak/>
        <w:t>Research Benefits</w:t>
      </w:r>
      <w:bookmarkEnd w:id="16"/>
    </w:p>
    <w:p w14:paraId="6A31C54A" w14:textId="77777777" w:rsidR="00667FA2" w:rsidRDefault="00000000">
      <w:pPr>
        <w:spacing w:after="210" w:line="360" w:lineRule="auto"/>
      </w:pPr>
      <w:r>
        <w:rPr>
          <w:rFonts w:eastAsia="Georgia" w:hAnsi="Georgia" w:cs="Georgia"/>
          <w:color w:val="000000"/>
        </w:rPr>
        <w:t>A cleaner benefits section would look like this:</w:t>
      </w:r>
    </w:p>
    <w:p w14:paraId="126A8A1E" w14:textId="77777777" w:rsidR="00667FA2" w:rsidRDefault="00000000">
      <w:pPr>
        <w:numPr>
          <w:ilvl w:val="0"/>
          <w:numId w:val="2"/>
        </w:numPr>
        <w:spacing w:before="105" w:after="105" w:line="360" w:lineRule="auto"/>
      </w:pPr>
      <w:r>
        <w:rPr>
          <w:rFonts w:eastAsia="Georgia" w:hAnsi="Georgia" w:cs="Georgia"/>
          <w:color w:val="000000"/>
        </w:rPr>
        <w:t>Anxiety research: Selank has shown anxiolytic-like effects in rodent models and some limited human studies.</w:t>
      </w:r>
      <w:bookmarkStart w:id="17" w:name="fnref8"/>
      <w:bookmarkEnd w:id="17"/>
      <w:r>
        <w:fldChar w:fldCharType="begin"/>
      </w:r>
      <w:r>
        <w:instrText>HYPERLINK \l "fn8" \h</w:instrText>
      </w:r>
      <w:r>
        <w:fldChar w:fldCharType="separate"/>
      </w:r>
      <w:r>
        <w:rPr>
          <w:rFonts w:ascii="Helvetica Neue" w:eastAsia="Helvetica Neue" w:hAnsi="Helvetica Neue" w:cs="Helvetica Neue"/>
          <w:u w:val="single"/>
          <w:vertAlign w:val="superscript"/>
        </w:rPr>
        <w:t>[8]</w:t>
      </w:r>
      <w:r>
        <w:fldChar w:fldCharType="end"/>
      </w:r>
      <w:bookmarkStart w:id="18" w:name="fnref9"/>
      <w:bookmarkEnd w:id="18"/>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1C415966" w14:textId="77777777" w:rsidR="00667FA2" w:rsidRDefault="00000000">
      <w:pPr>
        <w:numPr>
          <w:ilvl w:val="0"/>
          <w:numId w:val="2"/>
        </w:numPr>
        <w:spacing w:before="105" w:after="105" w:line="360" w:lineRule="auto"/>
      </w:pPr>
      <w:r>
        <w:rPr>
          <w:rFonts w:eastAsia="Georgia" w:hAnsi="Georgia" w:cs="Georgia"/>
          <w:color w:val="000000"/>
        </w:rPr>
        <w:t>Cognitive research: It has been studied for effects on attention, memory, and adaptive behavior under stress.</w:t>
      </w:r>
      <w:bookmarkStart w:id="19" w:name="fnref2_1"/>
      <w:bookmarkEnd w:id="1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20" w:name="fnref3_3"/>
      <w:bookmarkEnd w:id="20"/>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120F4FE3" w14:textId="77777777" w:rsidR="00667FA2" w:rsidRDefault="00000000">
      <w:pPr>
        <w:numPr>
          <w:ilvl w:val="0"/>
          <w:numId w:val="2"/>
        </w:numPr>
        <w:spacing w:before="105" w:after="105" w:line="360" w:lineRule="auto"/>
      </w:pPr>
      <w:r>
        <w:rPr>
          <w:rFonts w:eastAsia="Georgia" w:hAnsi="Georgia" w:cs="Georgia"/>
          <w:color w:val="000000"/>
        </w:rPr>
        <w:t>Neurotrophic research: Some studies report BDNF-related and synaptic plasticity-related changes.</w:t>
      </w:r>
      <w:bookmarkStart w:id="21" w:name="fnref3_4"/>
      <w:bookmarkEnd w:id="21"/>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22" w:name="fnref6_2"/>
      <w:bookmarkEnd w:id="2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707862EC" w14:textId="77777777" w:rsidR="00667FA2" w:rsidRDefault="00000000">
      <w:pPr>
        <w:numPr>
          <w:ilvl w:val="0"/>
          <w:numId w:val="2"/>
        </w:numPr>
        <w:spacing w:before="105" w:after="105" w:line="360" w:lineRule="auto"/>
      </w:pPr>
      <w:r>
        <w:rPr>
          <w:rFonts w:eastAsia="Georgia" w:hAnsi="Georgia" w:cs="Georgia"/>
          <w:color w:val="000000"/>
        </w:rPr>
        <w:t>Stress adaptation: It has been explored in chronic stress and withdrawal-related paradigms.</w:t>
      </w:r>
      <w:bookmarkStart w:id="23" w:name="fnref1_3"/>
      <w:bookmarkEnd w:id="23"/>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4" w:name="fnref4_2"/>
      <w:bookmarkEnd w:id="2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p>
    <w:p w14:paraId="5577DF0F" w14:textId="77777777" w:rsidR="00667FA2" w:rsidRDefault="00000000">
      <w:pPr>
        <w:numPr>
          <w:ilvl w:val="0"/>
          <w:numId w:val="2"/>
        </w:numPr>
        <w:spacing w:before="105" w:after="105" w:line="360" w:lineRule="auto"/>
      </w:pPr>
      <w:r>
        <w:rPr>
          <w:rFonts w:eastAsia="Georgia" w:hAnsi="Georgia" w:cs="Georgia"/>
          <w:color w:val="000000"/>
        </w:rPr>
        <w:t>Immune modulation: It may influence immune-related gene expression and inflammatory signaling.</w:t>
      </w:r>
      <w:bookmarkStart w:id="25" w:name="fnref4_3"/>
      <w:bookmarkEnd w:id="25"/>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6" w:name="fnref1_4"/>
      <w:bookmarkEnd w:id="2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72B52EDE" w14:textId="77777777" w:rsidR="00667FA2" w:rsidRDefault="00000000">
      <w:pPr>
        <w:spacing w:before="315" w:after="105" w:line="360" w:lineRule="auto"/>
        <w:ind w:left="-30"/>
      </w:pPr>
      <w:bookmarkStart w:id="27" w:name="dosage_section"/>
      <w:r>
        <w:rPr>
          <w:rFonts w:eastAsia="Georgia" w:hAnsi="Georgia" w:cs="Georgia"/>
          <w:b/>
          <w:color w:val="000000"/>
          <w:sz w:val="24"/>
        </w:rPr>
        <w:t>Dosage section</w:t>
      </w:r>
      <w:bookmarkEnd w:id="27"/>
    </w:p>
    <w:p w14:paraId="2BD3F47C" w14:textId="77777777" w:rsidR="00667FA2" w:rsidRDefault="00000000">
      <w:pPr>
        <w:spacing w:after="210" w:line="360" w:lineRule="auto"/>
      </w:pPr>
      <w:r>
        <w:rPr>
          <w:rFonts w:eastAsia="Georgia" w:hAnsi="Georgia" w:cs="Georgia"/>
          <w:color w:val="000000"/>
        </w:rPr>
        <w:t>I would remove the specific dose ranges from a public blog post. Listing microgram/kg dosing and step-by-step “initial calibration” language can read like a usage guide rather than educational content, which is risky for a research-use-only page. A safer version is: “Published studies use different routes and experimental schedules depending on the model, route, and endpoint, so protocols should be reviewed directly in the underlying literature”.</w:t>
      </w:r>
      <w:bookmarkStart w:id="28" w:name="fnref1_5"/>
      <w:bookmarkEnd w:id="28"/>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9" w:name="fnref2_2"/>
      <w:bookmarkEnd w:id="29"/>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0" w:name="fnref9_1"/>
      <w:bookmarkEnd w:id="30"/>
      <w:r>
        <w:fldChar w:fldCharType="begin"/>
      </w:r>
      <w:r>
        <w:instrText>HYPERLINK \l "fn9" \h</w:instrText>
      </w:r>
      <w:r>
        <w:fldChar w:fldCharType="separate"/>
      </w:r>
      <w:r>
        <w:rPr>
          <w:rFonts w:ascii="Helvetica Neue" w:eastAsia="Helvetica Neue" w:hAnsi="Helvetica Neue" w:cs="Helvetica Neue"/>
          <w:u w:val="single"/>
          <w:vertAlign w:val="superscript"/>
        </w:rPr>
        <w:t>[9]</w:t>
      </w:r>
      <w:r>
        <w:fldChar w:fldCharType="end"/>
      </w:r>
    </w:p>
    <w:p w14:paraId="7D56FA02" w14:textId="77777777" w:rsidR="00667FA2" w:rsidRDefault="00000000">
      <w:pPr>
        <w:spacing w:before="315" w:after="105" w:line="360" w:lineRule="auto"/>
        <w:ind w:left="-30"/>
      </w:pPr>
      <w:bookmarkStart w:id="31" w:name="results_timeline"/>
      <w:r>
        <w:rPr>
          <w:rFonts w:eastAsia="Georgia" w:hAnsi="Georgia" w:cs="Georgia"/>
          <w:b/>
          <w:color w:val="000000"/>
          <w:sz w:val="24"/>
        </w:rPr>
        <w:t>Results timeline</w:t>
      </w:r>
      <w:bookmarkEnd w:id="31"/>
    </w:p>
    <w:p w14:paraId="0CC20B14" w14:textId="77777777" w:rsidR="00667FA2" w:rsidRDefault="00000000">
      <w:pPr>
        <w:spacing w:after="210" w:line="360" w:lineRule="auto"/>
      </w:pPr>
      <w:r>
        <w:rPr>
          <w:rFonts w:eastAsia="Georgia" w:hAnsi="Georgia" w:cs="Georgia"/>
          <w:color w:val="000000"/>
        </w:rPr>
        <w:t>Your timeline section should also be softened. Instead of saying results occur in phases, say that research effects may be observed quickly in behavioral or biochemical models, while longer-term changes in gene expression, stress adaptation, or cognitive performance usually require repeated dosing and chronic study designs. That keeps the article informative without implying human outcomes.</w:t>
      </w:r>
      <w:bookmarkStart w:id="32" w:name="fnref1_6"/>
      <w:bookmarkEnd w:id="32"/>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33" w:name="fnref2_3"/>
      <w:bookmarkEnd w:id="33"/>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4" w:name="fnref3_5"/>
      <w:bookmarkEnd w:id="3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p>
    <w:p w14:paraId="0B2FA48F" w14:textId="77777777" w:rsidR="00667FA2" w:rsidRDefault="00000000">
      <w:pPr>
        <w:spacing w:before="315" w:after="105" w:line="360" w:lineRule="auto"/>
        <w:ind w:left="-30"/>
      </w:pPr>
      <w:bookmarkStart w:id="35" w:name="safer_disclaimer"/>
      <w:r>
        <w:rPr>
          <w:rFonts w:eastAsia="Georgia" w:hAnsi="Georgia" w:cs="Georgia"/>
          <w:b/>
          <w:color w:val="000000"/>
          <w:sz w:val="24"/>
        </w:rPr>
        <w:t>Safer disclaimer</w:t>
      </w:r>
      <w:bookmarkEnd w:id="35"/>
    </w:p>
    <w:p w14:paraId="3DC8AE75" w14:textId="77777777" w:rsidR="00667FA2" w:rsidRDefault="00000000">
      <w:pPr>
        <w:spacing w:after="210" w:line="360" w:lineRule="auto"/>
      </w:pPr>
      <w:r>
        <w:rPr>
          <w:rFonts w:eastAsia="Georgia" w:hAnsi="Georgia" w:cs="Georgia"/>
          <w:color w:val="000000"/>
        </w:rPr>
        <w:t>Use a single, clear disclaimer such as:</w:t>
      </w:r>
    </w:p>
    <w:p w14:paraId="56D9944C" w14:textId="77777777" w:rsidR="00667FA2" w:rsidRDefault="00000000">
      <w:pPr>
        <w:spacing w:after="210" w:line="360" w:lineRule="auto"/>
      </w:pPr>
      <w:r>
        <w:rPr>
          <w:rFonts w:eastAsia="Georgia" w:hAnsi="Georgia" w:cs="Georgia"/>
          <w:color w:val="000000"/>
        </w:rPr>
        <w:t>“Selank is a research compound only. It is not FDA-approved for human consumption, diagnosis, treatment, or prevention of any condition, and any discussion of effects in this article refers to published research models rather than medical use.”</w:t>
      </w:r>
      <w:bookmarkStart w:id="36" w:name="fnref5_1"/>
      <w:bookmarkEnd w:id="36"/>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37" w:name="fnref7_1"/>
      <w:bookmarkEnd w:id="37"/>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741B009F" w14:textId="77777777" w:rsidR="00667FA2" w:rsidRDefault="00000000">
      <w:pPr>
        <w:spacing w:before="315" w:after="105" w:line="360" w:lineRule="auto"/>
        <w:ind w:left="-30"/>
      </w:pPr>
      <w:bookmarkStart w:id="38" w:name="better_closing"/>
      <w:r>
        <w:rPr>
          <w:rFonts w:eastAsia="Georgia" w:hAnsi="Georgia" w:cs="Georgia"/>
          <w:b/>
          <w:color w:val="000000"/>
          <w:sz w:val="24"/>
        </w:rPr>
        <w:lastRenderedPageBreak/>
        <w:t>Better closing</w:t>
      </w:r>
      <w:bookmarkEnd w:id="38"/>
    </w:p>
    <w:p w14:paraId="4AF3CBDF" w14:textId="77777777" w:rsidR="00667FA2" w:rsidRDefault="00000000">
      <w:pPr>
        <w:spacing w:after="210" w:line="360" w:lineRule="auto"/>
      </w:pPr>
      <w:r>
        <w:rPr>
          <w:rFonts w:eastAsia="Georgia" w:hAnsi="Georgia" w:cs="Georgia"/>
          <w:color w:val="000000"/>
        </w:rPr>
        <w:t>A stronger final paragraph would be:</w:t>
      </w:r>
    </w:p>
    <w:p w14:paraId="05E10A73" w14:textId="77777777" w:rsidR="00667FA2" w:rsidRDefault="00000000">
      <w:pPr>
        <w:spacing w:after="210" w:line="360" w:lineRule="auto"/>
      </w:pPr>
      <w:r>
        <w:rPr>
          <w:rFonts w:eastAsia="Georgia" w:hAnsi="Georgia" w:cs="Georgia"/>
          <w:color w:val="000000"/>
        </w:rPr>
        <w:t>“Selank remains an interesting research peptide for studying anxiety-related behavior, stress adaptation, neuroplasticity, and immune–CNS interactions. Its value is in laboratory and limited clinical research, not in approved human use. As with any investigational peptide, evidence quality, regulatory status, and study design should guide interpretation.”</w:t>
      </w:r>
      <w:bookmarkStart w:id="39" w:name="fnref1_7"/>
      <w:bookmarkEnd w:id="3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40" w:name="fnref2_4"/>
      <w:bookmarkEnd w:id="40"/>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41" w:name="fnref7_2"/>
      <w:bookmarkEnd w:id="41"/>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255A887D" w14:textId="77777777" w:rsidR="00667FA2" w:rsidRDefault="00000000">
      <w:pPr>
        <w:spacing w:after="210" w:line="360" w:lineRule="auto"/>
      </w:pPr>
      <w:r>
        <w:rPr>
          <w:rFonts w:eastAsia="Georgia" w:hAnsi="Georgia" w:cs="Georgia"/>
          <w:color w:val="000000"/>
        </w:rPr>
        <w:t>Would you like me to convert this into a full SEO blog post with a meta title, meta description, FAQ, and a polished intro?</w:t>
      </w:r>
      <w:r>
        <w:rPr>
          <w:rFonts w:eastAsia="Georgia" w:hAnsi="Georgia" w:cs="Georgia"/>
          <w:color w:val="000000"/>
        </w:rPr>
        <w:br/>
      </w:r>
    </w:p>
    <w:p w14:paraId="1D32EB6B" w14:textId="77777777" w:rsidR="00667FA2" w:rsidRDefault="00000000">
      <w:pPr>
        <w:spacing w:line="360" w:lineRule="auto"/>
      </w:pPr>
      <w:r>
        <w:rPr>
          <w:rFonts w:eastAsia="Georgia" w:hAnsi="Georgia" w:cs="Georgia"/>
          <w:color w:val="000000"/>
        </w:rPr>
        <w:t>⁂</w:t>
      </w:r>
    </w:p>
    <w:p w14:paraId="457E30B4" w14:textId="77777777" w:rsidR="00667FA2" w:rsidRDefault="004D551F">
      <w:pPr>
        <w:spacing w:before="210" w:after="0" w:line="360" w:lineRule="auto"/>
      </w:pPr>
      <w:r>
        <w:rPr>
          <w:noProof/>
        </w:rPr>
      </w:r>
      <w:r>
        <w:rPr>
          <w:noProof/>
        </w:rPr>
        <w:pict w14:anchorId="0115EF49">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42" w:name="fn1"/>
    <w:bookmarkEnd w:id="42"/>
    <w:p w14:paraId="151F3226" w14:textId="77777777" w:rsidR="00667FA2" w:rsidRDefault="00000000">
      <w:pPr>
        <w:numPr>
          <w:ilvl w:val="0"/>
          <w:numId w:val="4"/>
        </w:numPr>
        <w:spacing w:after="210" w:line="360" w:lineRule="auto"/>
      </w:pPr>
      <w:r>
        <w:fldChar w:fldCharType="begin"/>
      </w:r>
      <w:r>
        <w:instrText>HYPERLINK "https://pmc.ncbi.nlm.nih.gov/articles/PMC4757669/" \h</w:instrText>
      </w:r>
      <w:r>
        <w:fldChar w:fldCharType="separate"/>
      </w:r>
      <w:r>
        <w:rPr>
          <w:rFonts w:ascii="Helvetica Neue" w:eastAsia="Helvetica Neue" w:hAnsi="Helvetica Neue" w:cs="Helvetica Neue"/>
          <w:sz w:val="18"/>
          <w:u w:val="single"/>
        </w:rPr>
        <w:t>https://pmc.ncbi.nlm.nih.gov/articles/PMC4757669/</w:t>
      </w:r>
      <w:r>
        <w:fldChar w:fldCharType="end"/>
      </w:r>
      <w:r>
        <w:rPr>
          <w:rFonts w:eastAsia="Georgia" w:hAnsi="Georgia" w:cs="Georgia"/>
          <w:color w:val="000000"/>
          <w:sz w:val="18"/>
        </w:rPr>
        <w:t xml:space="preserve">        </w:t>
      </w:r>
    </w:p>
    <w:bookmarkStart w:id="43" w:name="fn2"/>
    <w:bookmarkEnd w:id="43"/>
    <w:p w14:paraId="68D39D97" w14:textId="77777777" w:rsidR="00667FA2" w:rsidRDefault="00000000">
      <w:pPr>
        <w:numPr>
          <w:ilvl w:val="0"/>
          <w:numId w:val="4"/>
        </w:numPr>
        <w:spacing w:after="210" w:line="360" w:lineRule="auto"/>
      </w:pPr>
      <w:r>
        <w:fldChar w:fldCharType="begin"/>
      </w:r>
      <w:r>
        <w:instrText>HYPERLINK "https://pubmed.ncbi.nlm.nih.gov/32342318/" \h</w:instrText>
      </w:r>
      <w:r>
        <w:fldChar w:fldCharType="separate"/>
      </w:r>
      <w:r>
        <w:rPr>
          <w:rFonts w:ascii="Helvetica Neue" w:eastAsia="Helvetica Neue" w:hAnsi="Helvetica Neue" w:cs="Helvetica Neue"/>
          <w:sz w:val="18"/>
          <w:u w:val="single"/>
        </w:rPr>
        <w:t>https://pubmed.ncbi.nlm.nih.gov/32342318/</w:t>
      </w:r>
      <w:r>
        <w:fldChar w:fldCharType="end"/>
      </w:r>
      <w:r>
        <w:rPr>
          <w:rFonts w:eastAsia="Georgia" w:hAnsi="Georgia" w:cs="Georgia"/>
          <w:color w:val="000000"/>
          <w:sz w:val="18"/>
        </w:rPr>
        <w:t xml:space="preserve">     </w:t>
      </w:r>
    </w:p>
    <w:bookmarkStart w:id="44" w:name="fn3"/>
    <w:bookmarkEnd w:id="44"/>
    <w:p w14:paraId="19519621" w14:textId="77777777" w:rsidR="00667FA2" w:rsidRDefault="00000000">
      <w:pPr>
        <w:numPr>
          <w:ilvl w:val="0"/>
          <w:numId w:val="4"/>
        </w:numPr>
        <w:spacing w:after="210" w:line="360" w:lineRule="auto"/>
      </w:pPr>
      <w:r>
        <w:fldChar w:fldCharType="begin"/>
      </w:r>
      <w:r>
        <w:instrText>HYPERLINK "https://pubmed.ncbi.nlm.nih.gov/30255741/" \h</w:instrText>
      </w:r>
      <w:r>
        <w:fldChar w:fldCharType="separate"/>
      </w:r>
      <w:r>
        <w:rPr>
          <w:rFonts w:ascii="Helvetica Neue" w:eastAsia="Helvetica Neue" w:hAnsi="Helvetica Neue" w:cs="Helvetica Neue"/>
          <w:sz w:val="18"/>
          <w:u w:val="single"/>
        </w:rPr>
        <w:t>https://pubmed.ncbi.nlm.nih.gov/30255741/</w:t>
      </w:r>
      <w:r>
        <w:fldChar w:fldCharType="end"/>
      </w:r>
      <w:r>
        <w:rPr>
          <w:rFonts w:eastAsia="Georgia" w:hAnsi="Georgia" w:cs="Georgia"/>
          <w:color w:val="000000"/>
          <w:sz w:val="18"/>
        </w:rPr>
        <w:t xml:space="preserve">      </w:t>
      </w:r>
    </w:p>
    <w:bookmarkStart w:id="45" w:name="fn4"/>
    <w:bookmarkEnd w:id="45"/>
    <w:p w14:paraId="69F93585" w14:textId="77777777" w:rsidR="00667FA2" w:rsidRDefault="00000000">
      <w:pPr>
        <w:numPr>
          <w:ilvl w:val="0"/>
          <w:numId w:val="4"/>
        </w:numPr>
        <w:spacing w:after="210" w:line="360" w:lineRule="auto"/>
      </w:pPr>
      <w:r>
        <w:fldChar w:fldCharType="begin"/>
      </w:r>
      <w:r>
        <w:instrText>HYPERLINK "https://pmc.ncbi.nlm.nih.gov/articles/PMC5328971/" \h</w:instrText>
      </w:r>
      <w:r>
        <w:fldChar w:fldCharType="separate"/>
      </w:r>
      <w:r>
        <w:rPr>
          <w:rFonts w:ascii="Helvetica Neue" w:eastAsia="Helvetica Neue" w:hAnsi="Helvetica Neue" w:cs="Helvetica Neue"/>
          <w:sz w:val="18"/>
          <w:u w:val="single"/>
        </w:rPr>
        <w:t>https://pmc.ncbi.nlm.nih.gov/articles/PMC5328971/</w:t>
      </w:r>
      <w:r>
        <w:fldChar w:fldCharType="end"/>
      </w:r>
      <w:r>
        <w:rPr>
          <w:rFonts w:eastAsia="Georgia" w:hAnsi="Georgia" w:cs="Georgia"/>
          <w:color w:val="000000"/>
          <w:sz w:val="18"/>
        </w:rPr>
        <w:t xml:space="preserve">    </w:t>
      </w:r>
    </w:p>
    <w:bookmarkStart w:id="46" w:name="fn5"/>
    <w:bookmarkEnd w:id="46"/>
    <w:p w14:paraId="18871EBD" w14:textId="77777777" w:rsidR="00667FA2" w:rsidRDefault="00000000">
      <w:pPr>
        <w:numPr>
          <w:ilvl w:val="0"/>
          <w:numId w:val="4"/>
        </w:numPr>
        <w:spacing w:after="210" w:line="360" w:lineRule="auto"/>
      </w:pPr>
      <w:r>
        <w:fldChar w:fldCharType="begin"/>
      </w:r>
      <w:r>
        <w:instrText>HYPERLINK "https://nexgenbiogenix.com/selank/" \h</w:instrText>
      </w:r>
      <w:r>
        <w:fldChar w:fldCharType="separate"/>
      </w:r>
      <w:r>
        <w:rPr>
          <w:rFonts w:ascii="Helvetica Neue" w:eastAsia="Helvetica Neue" w:hAnsi="Helvetica Neue" w:cs="Helvetica Neue"/>
          <w:sz w:val="18"/>
          <w:u w:val="single"/>
        </w:rPr>
        <w:t>https://nexgenbiogenix.com/selank/</w:t>
      </w:r>
      <w:r>
        <w:fldChar w:fldCharType="end"/>
      </w:r>
      <w:r>
        <w:rPr>
          <w:rFonts w:eastAsia="Georgia" w:hAnsi="Georgia" w:cs="Georgia"/>
          <w:color w:val="000000"/>
          <w:sz w:val="18"/>
        </w:rPr>
        <w:t xml:space="preserve">  </w:t>
      </w:r>
    </w:p>
    <w:bookmarkStart w:id="47" w:name="fn6"/>
    <w:bookmarkEnd w:id="47"/>
    <w:p w14:paraId="12B2EFF6" w14:textId="77777777" w:rsidR="00667FA2" w:rsidRDefault="00000000">
      <w:pPr>
        <w:numPr>
          <w:ilvl w:val="0"/>
          <w:numId w:val="4"/>
        </w:numPr>
        <w:spacing w:after="210" w:line="360" w:lineRule="auto"/>
      </w:pPr>
      <w:r>
        <w:fldChar w:fldCharType="begin"/>
      </w:r>
      <w:r>
        <w:instrText>HYPERLINK "https://palmettopeptides.com/blogs/news/mechanisms-of-action-selank-research-peptide-neuroscience" \h</w:instrText>
      </w:r>
      <w:r>
        <w:fldChar w:fldCharType="separate"/>
      </w:r>
      <w:r>
        <w:rPr>
          <w:rFonts w:ascii="Helvetica Neue" w:eastAsia="Helvetica Neue" w:hAnsi="Helvetica Neue" w:cs="Helvetica Neue"/>
          <w:sz w:val="18"/>
          <w:u w:val="single"/>
        </w:rPr>
        <w:t>https://palmettopeptides.com/blogs/news/mechanisms-of-action-selank-research-peptide-neuroscience</w:t>
      </w:r>
      <w:r>
        <w:fldChar w:fldCharType="end"/>
      </w:r>
      <w:r>
        <w:rPr>
          <w:rFonts w:eastAsia="Georgia" w:hAnsi="Georgia" w:cs="Georgia"/>
          <w:color w:val="000000"/>
          <w:sz w:val="18"/>
        </w:rPr>
        <w:t xml:space="preserve">   </w:t>
      </w:r>
    </w:p>
    <w:bookmarkStart w:id="48" w:name="fn7"/>
    <w:bookmarkEnd w:id="48"/>
    <w:p w14:paraId="75AC65CA" w14:textId="77777777" w:rsidR="00667FA2" w:rsidRDefault="00000000">
      <w:pPr>
        <w:numPr>
          <w:ilvl w:val="0"/>
          <w:numId w:val="4"/>
        </w:numPr>
        <w:spacing w:after="210" w:line="360" w:lineRule="auto"/>
      </w:pPr>
      <w:r>
        <w:fldChar w:fldCharType="begin"/>
      </w:r>
      <w:r>
        <w:instrText>HYPERLINK "https://www.realpeptides.co/selank-amidate-fda-approved-status/" \h</w:instrText>
      </w:r>
      <w:r>
        <w:fldChar w:fldCharType="separate"/>
      </w:r>
      <w:r>
        <w:rPr>
          <w:rFonts w:ascii="Helvetica Neue" w:eastAsia="Helvetica Neue" w:hAnsi="Helvetica Neue" w:cs="Helvetica Neue"/>
          <w:sz w:val="18"/>
          <w:u w:val="single"/>
        </w:rPr>
        <w:t>https://www.realpeptides.co/selank-amidate-fda-approved-status/</w:t>
      </w:r>
      <w:r>
        <w:fldChar w:fldCharType="end"/>
      </w:r>
      <w:r>
        <w:rPr>
          <w:rFonts w:eastAsia="Georgia" w:hAnsi="Georgia" w:cs="Georgia"/>
          <w:color w:val="000000"/>
          <w:sz w:val="18"/>
        </w:rPr>
        <w:t xml:space="preserve">   </w:t>
      </w:r>
    </w:p>
    <w:bookmarkStart w:id="49" w:name="fn8"/>
    <w:bookmarkEnd w:id="49"/>
    <w:p w14:paraId="71C9E3C7" w14:textId="77777777" w:rsidR="00667FA2" w:rsidRDefault="00000000">
      <w:pPr>
        <w:numPr>
          <w:ilvl w:val="0"/>
          <w:numId w:val="4"/>
        </w:numPr>
        <w:spacing w:after="210" w:line="360" w:lineRule="auto"/>
      </w:pPr>
      <w:r>
        <w:fldChar w:fldCharType="begin"/>
      </w:r>
      <w:r>
        <w:instrText>HYPERLINK "https://pmc.ncbi.nlm.nih.gov/articles/PMC5322660/" \h</w:instrText>
      </w:r>
      <w:r>
        <w:fldChar w:fldCharType="separate"/>
      </w:r>
      <w:r>
        <w:rPr>
          <w:rFonts w:ascii="Helvetica Neue" w:eastAsia="Helvetica Neue" w:hAnsi="Helvetica Neue" w:cs="Helvetica Neue"/>
          <w:sz w:val="18"/>
          <w:u w:val="single"/>
        </w:rPr>
        <w:t>https://pmc.ncbi.nlm.nih.gov/articles/PMC5322660/</w:t>
      </w:r>
      <w:r>
        <w:fldChar w:fldCharType="end"/>
      </w:r>
      <w:r>
        <w:rPr>
          <w:rFonts w:eastAsia="Georgia" w:hAnsi="Georgia" w:cs="Georgia"/>
          <w:color w:val="000000"/>
          <w:sz w:val="18"/>
        </w:rPr>
        <w:t xml:space="preserve"> </w:t>
      </w:r>
    </w:p>
    <w:bookmarkStart w:id="50" w:name="fn9"/>
    <w:bookmarkEnd w:id="50"/>
    <w:p w14:paraId="69342A9F" w14:textId="77777777" w:rsidR="00667FA2" w:rsidRDefault="00000000">
      <w:pPr>
        <w:numPr>
          <w:ilvl w:val="0"/>
          <w:numId w:val="4"/>
        </w:numPr>
        <w:spacing w:after="210" w:line="360" w:lineRule="auto"/>
      </w:pPr>
      <w:r>
        <w:fldChar w:fldCharType="begin"/>
      </w:r>
      <w:r>
        <w:instrText>HYPERLINK "https://medicalantiaging.com/wp-content/uploads/2024/10/MAA-Selank-Medical-Evidence.pdf" \h</w:instrText>
      </w:r>
      <w:r>
        <w:fldChar w:fldCharType="separate"/>
      </w:r>
      <w:r>
        <w:rPr>
          <w:rFonts w:ascii="Helvetica Neue" w:eastAsia="Helvetica Neue" w:hAnsi="Helvetica Neue" w:cs="Helvetica Neue"/>
          <w:sz w:val="18"/>
          <w:u w:val="single"/>
        </w:rPr>
        <w:t>https://medicalantiaging.com/wp-content/uploads/2024/10/MAA-Selank-Medical-Evidence.pdf</w:t>
      </w:r>
      <w:r>
        <w:fldChar w:fldCharType="end"/>
      </w:r>
      <w:r>
        <w:rPr>
          <w:rFonts w:eastAsia="Georgia" w:hAnsi="Georgia" w:cs="Georgia"/>
          <w:color w:val="000000"/>
          <w:sz w:val="18"/>
        </w:rPr>
        <w:t xml:space="preserve">  </w:t>
      </w:r>
    </w:p>
    <w:bookmarkStart w:id="51" w:name="fn10"/>
    <w:bookmarkEnd w:id="51"/>
    <w:p w14:paraId="1154142B" w14:textId="77777777" w:rsidR="00667FA2" w:rsidRDefault="00000000">
      <w:pPr>
        <w:numPr>
          <w:ilvl w:val="0"/>
          <w:numId w:val="4"/>
        </w:numPr>
        <w:spacing w:after="210" w:line="360" w:lineRule="auto"/>
      </w:pPr>
      <w:r>
        <w:fldChar w:fldCharType="begin"/>
      </w:r>
      <w:r>
        <w:instrText>HYPERLINK "https://pubmed.ncbi.nlm.nih.gov/26924987/" \h</w:instrText>
      </w:r>
      <w:r>
        <w:fldChar w:fldCharType="separate"/>
      </w:r>
      <w:r>
        <w:rPr>
          <w:rFonts w:ascii="Helvetica Neue" w:eastAsia="Helvetica Neue" w:hAnsi="Helvetica Neue" w:cs="Helvetica Neue"/>
          <w:sz w:val="18"/>
          <w:u w:val="single"/>
        </w:rPr>
        <w:t>https://pubmed.ncbi.nlm.nih.gov/26924987/</w:t>
      </w:r>
      <w:r>
        <w:fldChar w:fldCharType="end"/>
      </w:r>
      <w:r>
        <w:rPr>
          <w:rFonts w:eastAsia="Georgia" w:hAnsi="Georgia" w:cs="Georgia"/>
          <w:color w:val="000000"/>
          <w:sz w:val="18"/>
        </w:rPr>
        <w:t xml:space="preserve"> </w:t>
      </w:r>
    </w:p>
    <w:bookmarkStart w:id="52" w:name="fn11"/>
    <w:bookmarkEnd w:id="52"/>
    <w:p w14:paraId="61967981" w14:textId="77777777" w:rsidR="00667FA2" w:rsidRDefault="00000000">
      <w:pPr>
        <w:numPr>
          <w:ilvl w:val="0"/>
          <w:numId w:val="4"/>
        </w:numPr>
        <w:spacing w:after="210" w:line="360" w:lineRule="auto"/>
      </w:pPr>
      <w:r>
        <w:fldChar w:fldCharType="begin"/>
      </w:r>
      <w:r>
        <w:instrText>HYPERLINK "https://www.innerbody.com/selank-peptide" \h</w:instrText>
      </w:r>
      <w:r>
        <w:fldChar w:fldCharType="separate"/>
      </w:r>
      <w:r>
        <w:rPr>
          <w:rFonts w:ascii="Helvetica Neue" w:eastAsia="Helvetica Neue" w:hAnsi="Helvetica Neue" w:cs="Helvetica Neue"/>
          <w:sz w:val="18"/>
          <w:u w:val="single"/>
        </w:rPr>
        <w:t>https://www.innerbody.com/selank-peptide</w:t>
      </w:r>
      <w:r>
        <w:fldChar w:fldCharType="end"/>
      </w:r>
      <w:r>
        <w:rPr>
          <w:rFonts w:eastAsia="Georgia" w:hAnsi="Georgia" w:cs="Georgia"/>
          <w:color w:val="000000"/>
          <w:sz w:val="18"/>
        </w:rPr>
        <w:t xml:space="preserve"> </w:t>
      </w:r>
    </w:p>
    <w:bookmarkStart w:id="53" w:name="fn12"/>
    <w:bookmarkEnd w:id="53"/>
    <w:p w14:paraId="64C0396E" w14:textId="77777777" w:rsidR="00667FA2" w:rsidRDefault="00000000">
      <w:pPr>
        <w:numPr>
          <w:ilvl w:val="0"/>
          <w:numId w:val="4"/>
        </w:numPr>
        <w:spacing w:after="210" w:line="360" w:lineRule="auto"/>
      </w:pPr>
      <w:r>
        <w:fldChar w:fldCharType="begin"/>
      </w:r>
      <w:r>
        <w:instrText>HYPERLINK "https://www.realpeptides.co/selank-amidate-legal-research-use-rules/" \h</w:instrText>
      </w:r>
      <w:r>
        <w:fldChar w:fldCharType="separate"/>
      </w:r>
      <w:r>
        <w:rPr>
          <w:rFonts w:ascii="Helvetica Neue" w:eastAsia="Helvetica Neue" w:hAnsi="Helvetica Neue" w:cs="Helvetica Neue"/>
          <w:sz w:val="18"/>
          <w:u w:val="single"/>
        </w:rPr>
        <w:t>https://www.realpeptides.co/selank-amidate-legal-research-use-rules/</w:t>
      </w:r>
      <w:r>
        <w:fldChar w:fldCharType="end"/>
      </w:r>
      <w:r>
        <w:rPr>
          <w:rFonts w:eastAsia="Georgia" w:hAnsi="Georgia" w:cs="Georgia"/>
          <w:color w:val="000000"/>
          <w:sz w:val="18"/>
        </w:rPr>
        <w:t xml:space="preserve"> </w:t>
      </w:r>
    </w:p>
    <w:bookmarkStart w:id="54" w:name="fn13"/>
    <w:bookmarkEnd w:id="54"/>
    <w:p w14:paraId="3D681C8F" w14:textId="77777777" w:rsidR="00667FA2" w:rsidRDefault="00000000">
      <w:pPr>
        <w:numPr>
          <w:ilvl w:val="0"/>
          <w:numId w:val="4"/>
        </w:numPr>
        <w:spacing w:after="210" w:line="360" w:lineRule="auto"/>
      </w:pPr>
      <w:r>
        <w:fldChar w:fldCharType="begin"/>
      </w:r>
      <w:r>
        <w:instrText>HYPERLINK "https://meto.co/blog/semax-vs-selank-focus-anxiety" \h</w:instrText>
      </w:r>
      <w:r>
        <w:fldChar w:fldCharType="separate"/>
      </w:r>
      <w:r>
        <w:rPr>
          <w:rFonts w:ascii="Helvetica Neue" w:eastAsia="Helvetica Neue" w:hAnsi="Helvetica Neue" w:cs="Helvetica Neue"/>
          <w:sz w:val="18"/>
          <w:u w:val="single"/>
        </w:rPr>
        <w:t>https://meto.co/blog/semax-vs-selank-focus-anxiety</w:t>
      </w:r>
      <w:r>
        <w:fldChar w:fldCharType="end"/>
      </w:r>
      <w:r>
        <w:rPr>
          <w:rFonts w:eastAsia="Georgia" w:hAnsi="Georgia" w:cs="Georgia"/>
          <w:color w:val="000000"/>
          <w:sz w:val="18"/>
        </w:rPr>
        <w:t xml:space="preserve"> </w:t>
      </w:r>
    </w:p>
    <w:bookmarkStart w:id="55" w:name="fn14"/>
    <w:bookmarkEnd w:id="55"/>
    <w:p w14:paraId="5E1C6D7E" w14:textId="77777777" w:rsidR="00667FA2" w:rsidRDefault="00000000">
      <w:pPr>
        <w:numPr>
          <w:ilvl w:val="0"/>
          <w:numId w:val="4"/>
        </w:numPr>
        <w:spacing w:after="210" w:line="360" w:lineRule="auto"/>
      </w:pPr>
      <w:r>
        <w:fldChar w:fldCharType="begin"/>
      </w:r>
      <w:r>
        <w:instrText>HYPERLINK "https://peptidepublicus.com/it/blog/selank-peptide-clinical-evidence-review" \h</w:instrText>
      </w:r>
      <w:r>
        <w:fldChar w:fldCharType="separate"/>
      </w:r>
      <w:r>
        <w:rPr>
          <w:rFonts w:ascii="Helvetica Neue" w:eastAsia="Helvetica Neue" w:hAnsi="Helvetica Neue" w:cs="Helvetica Neue"/>
          <w:sz w:val="18"/>
          <w:u w:val="single"/>
        </w:rPr>
        <w:t>https://peptidepublicus.com/it/blog/selank-peptide-clinical-evidence-review</w:t>
      </w:r>
      <w:r>
        <w:fldChar w:fldCharType="end"/>
      </w:r>
      <w:r>
        <w:rPr>
          <w:rFonts w:eastAsia="Georgia" w:hAnsi="Georgia" w:cs="Georgia"/>
          <w:color w:val="000000"/>
          <w:sz w:val="18"/>
        </w:rPr>
        <w:t xml:space="preserve"> </w:t>
      </w:r>
    </w:p>
    <w:bookmarkStart w:id="56" w:name="fn15"/>
    <w:bookmarkEnd w:id="56"/>
    <w:p w14:paraId="03A168EC" w14:textId="77777777" w:rsidR="00667FA2" w:rsidRDefault="00000000">
      <w:pPr>
        <w:numPr>
          <w:ilvl w:val="0"/>
          <w:numId w:val="4"/>
        </w:numPr>
        <w:spacing w:after="210" w:line="360" w:lineRule="auto"/>
      </w:pPr>
      <w:r>
        <w:fldChar w:fldCharType="begin"/>
      </w:r>
      <w:r>
        <w:instrText>HYPERLINK "https://rethinkpeptides.com/articles/selank-and-serotonin-effects-on-multiple-neurotransmitter-systems" \h</w:instrText>
      </w:r>
      <w:r>
        <w:fldChar w:fldCharType="separate"/>
      </w:r>
      <w:r>
        <w:rPr>
          <w:rFonts w:ascii="Helvetica Neue" w:eastAsia="Helvetica Neue" w:hAnsi="Helvetica Neue" w:cs="Helvetica Neue"/>
          <w:sz w:val="18"/>
          <w:u w:val="single"/>
        </w:rPr>
        <w:t>https://rethinkpeptides.com/articles/selank-and-serotonin-effects-on-multiple-neurotransmitter-systems</w:t>
      </w:r>
      <w:r>
        <w:fldChar w:fldCharType="end"/>
      </w:r>
      <w:r>
        <w:rPr>
          <w:rFonts w:eastAsia="Georgia" w:hAnsi="Georgia" w:cs="Georgia"/>
          <w:color w:val="000000"/>
          <w:sz w:val="18"/>
        </w:rPr>
        <w:t xml:space="preserve"> </w:t>
      </w:r>
    </w:p>
    <w:sectPr w:rsidR="00667FA2">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660"/>
    <w:multiLevelType w:val="hybridMultilevel"/>
    <w:tmpl w:val="771A8F5C"/>
    <w:lvl w:ilvl="0" w:tplc="4FB6785E">
      <w:numFmt w:val="decimal"/>
      <w:lvlText w:val=""/>
      <w:lvlJc w:val="left"/>
    </w:lvl>
    <w:lvl w:ilvl="1" w:tplc="479C88C8">
      <w:numFmt w:val="decimal"/>
      <w:lvlText w:val=""/>
      <w:lvlJc w:val="left"/>
    </w:lvl>
    <w:lvl w:ilvl="2" w:tplc="F8B4D878">
      <w:numFmt w:val="decimal"/>
      <w:lvlText w:val=""/>
      <w:lvlJc w:val="left"/>
    </w:lvl>
    <w:lvl w:ilvl="3" w:tplc="FA1A6AF0">
      <w:numFmt w:val="decimal"/>
      <w:lvlText w:val=""/>
      <w:lvlJc w:val="left"/>
    </w:lvl>
    <w:lvl w:ilvl="4" w:tplc="F06282F0">
      <w:numFmt w:val="decimal"/>
      <w:lvlText w:val=""/>
      <w:lvlJc w:val="left"/>
    </w:lvl>
    <w:lvl w:ilvl="5" w:tplc="C0785A78">
      <w:numFmt w:val="decimal"/>
      <w:lvlText w:val=""/>
      <w:lvlJc w:val="left"/>
    </w:lvl>
    <w:lvl w:ilvl="6" w:tplc="0B8A0B00">
      <w:numFmt w:val="decimal"/>
      <w:lvlText w:val=""/>
      <w:lvlJc w:val="left"/>
    </w:lvl>
    <w:lvl w:ilvl="7" w:tplc="5330B480">
      <w:numFmt w:val="decimal"/>
      <w:lvlText w:val=""/>
      <w:lvlJc w:val="left"/>
    </w:lvl>
    <w:lvl w:ilvl="8" w:tplc="118CA992">
      <w:numFmt w:val="decimal"/>
      <w:lvlText w:val=""/>
      <w:lvlJc w:val="left"/>
    </w:lvl>
  </w:abstractNum>
  <w:abstractNum w:abstractNumId="1" w15:restartNumberingAfterBreak="0">
    <w:nsid w:val="4EC77C1F"/>
    <w:multiLevelType w:val="hybridMultilevel"/>
    <w:tmpl w:val="1A1A9F70"/>
    <w:lvl w:ilvl="0" w:tplc="24C61168">
      <w:start w:val="1"/>
      <w:numFmt w:val="bullet"/>
      <w:lvlText w:val=""/>
      <w:lvlJc w:val="left"/>
      <w:pPr>
        <w:tabs>
          <w:tab w:val="num" w:pos="900"/>
        </w:tabs>
        <w:ind w:left="540" w:hanging="360"/>
      </w:pPr>
      <w:rPr>
        <w:rFonts w:ascii="Symbol" w:hAnsi="Symbol" w:hint="default"/>
      </w:rPr>
    </w:lvl>
    <w:lvl w:ilvl="1" w:tplc="334A06B8">
      <w:numFmt w:val="decimal"/>
      <w:lvlText w:val=""/>
      <w:lvlJc w:val="left"/>
    </w:lvl>
    <w:lvl w:ilvl="2" w:tplc="34BEC1D8">
      <w:numFmt w:val="decimal"/>
      <w:lvlText w:val=""/>
      <w:lvlJc w:val="left"/>
    </w:lvl>
    <w:lvl w:ilvl="3" w:tplc="298C2638">
      <w:numFmt w:val="decimal"/>
      <w:lvlText w:val=""/>
      <w:lvlJc w:val="left"/>
    </w:lvl>
    <w:lvl w:ilvl="4" w:tplc="8FB829E2">
      <w:numFmt w:val="decimal"/>
      <w:lvlText w:val=""/>
      <w:lvlJc w:val="left"/>
    </w:lvl>
    <w:lvl w:ilvl="5" w:tplc="2DDA5E88">
      <w:numFmt w:val="decimal"/>
      <w:lvlText w:val=""/>
      <w:lvlJc w:val="left"/>
    </w:lvl>
    <w:lvl w:ilvl="6" w:tplc="18D2847E">
      <w:numFmt w:val="decimal"/>
      <w:lvlText w:val=""/>
      <w:lvlJc w:val="left"/>
    </w:lvl>
    <w:lvl w:ilvl="7" w:tplc="625CF24E">
      <w:numFmt w:val="decimal"/>
      <w:lvlText w:val=""/>
      <w:lvlJc w:val="left"/>
    </w:lvl>
    <w:lvl w:ilvl="8" w:tplc="2E388D3A">
      <w:numFmt w:val="decimal"/>
      <w:lvlText w:val=""/>
      <w:lvlJc w:val="left"/>
    </w:lvl>
  </w:abstractNum>
  <w:abstractNum w:abstractNumId="2" w15:restartNumberingAfterBreak="0">
    <w:nsid w:val="5DB76DFF"/>
    <w:multiLevelType w:val="hybridMultilevel"/>
    <w:tmpl w:val="6330B412"/>
    <w:lvl w:ilvl="0" w:tplc="B9BABAD6">
      <w:start w:val="1"/>
      <w:numFmt w:val="decimal"/>
      <w:lvlText w:val="%1."/>
      <w:lvlJc w:val="left"/>
      <w:pPr>
        <w:tabs>
          <w:tab w:val="num" w:pos="900"/>
        </w:tabs>
        <w:ind w:left="540" w:hanging="360"/>
      </w:pPr>
    </w:lvl>
    <w:lvl w:ilvl="1" w:tplc="3174A0DE">
      <w:numFmt w:val="decimal"/>
      <w:lvlText w:val=""/>
      <w:lvlJc w:val="left"/>
    </w:lvl>
    <w:lvl w:ilvl="2" w:tplc="DACEB076">
      <w:numFmt w:val="decimal"/>
      <w:lvlText w:val=""/>
      <w:lvlJc w:val="left"/>
    </w:lvl>
    <w:lvl w:ilvl="3" w:tplc="428C6E6C">
      <w:numFmt w:val="decimal"/>
      <w:lvlText w:val=""/>
      <w:lvlJc w:val="left"/>
    </w:lvl>
    <w:lvl w:ilvl="4" w:tplc="8460BAA0">
      <w:numFmt w:val="decimal"/>
      <w:lvlText w:val=""/>
      <w:lvlJc w:val="left"/>
    </w:lvl>
    <w:lvl w:ilvl="5" w:tplc="09C40B3E">
      <w:numFmt w:val="decimal"/>
      <w:lvlText w:val=""/>
      <w:lvlJc w:val="left"/>
    </w:lvl>
    <w:lvl w:ilvl="6" w:tplc="9864A77E">
      <w:numFmt w:val="decimal"/>
      <w:lvlText w:val=""/>
      <w:lvlJc w:val="left"/>
    </w:lvl>
    <w:lvl w:ilvl="7" w:tplc="293683C0">
      <w:numFmt w:val="decimal"/>
      <w:lvlText w:val=""/>
      <w:lvlJc w:val="left"/>
    </w:lvl>
    <w:lvl w:ilvl="8" w:tplc="F1002A66">
      <w:numFmt w:val="decimal"/>
      <w:lvlText w:val=""/>
      <w:lvlJc w:val="left"/>
    </w:lvl>
  </w:abstractNum>
  <w:abstractNum w:abstractNumId="3" w15:restartNumberingAfterBreak="0">
    <w:nsid w:val="7A5A33A1"/>
    <w:multiLevelType w:val="hybridMultilevel"/>
    <w:tmpl w:val="C73850D4"/>
    <w:lvl w:ilvl="0" w:tplc="64F0B40A">
      <w:start w:val="1"/>
      <w:numFmt w:val="decimal"/>
      <w:lvlText w:val="%1."/>
      <w:lvlJc w:val="left"/>
      <w:pPr>
        <w:tabs>
          <w:tab w:val="num" w:pos="900"/>
        </w:tabs>
        <w:ind w:left="540" w:hanging="360"/>
      </w:pPr>
    </w:lvl>
    <w:lvl w:ilvl="1" w:tplc="9C60A398">
      <w:numFmt w:val="decimal"/>
      <w:lvlText w:val=""/>
      <w:lvlJc w:val="left"/>
    </w:lvl>
    <w:lvl w:ilvl="2" w:tplc="8BD29FB4">
      <w:numFmt w:val="decimal"/>
      <w:lvlText w:val=""/>
      <w:lvlJc w:val="left"/>
    </w:lvl>
    <w:lvl w:ilvl="3" w:tplc="5D6A0D44">
      <w:numFmt w:val="decimal"/>
      <w:lvlText w:val=""/>
      <w:lvlJc w:val="left"/>
    </w:lvl>
    <w:lvl w:ilvl="4" w:tplc="65864CEA">
      <w:numFmt w:val="decimal"/>
      <w:lvlText w:val=""/>
      <w:lvlJc w:val="left"/>
    </w:lvl>
    <w:lvl w:ilvl="5" w:tplc="303E4082">
      <w:numFmt w:val="decimal"/>
      <w:lvlText w:val=""/>
      <w:lvlJc w:val="left"/>
    </w:lvl>
    <w:lvl w:ilvl="6" w:tplc="2FC8574C">
      <w:numFmt w:val="decimal"/>
      <w:lvlText w:val=""/>
      <w:lvlJc w:val="left"/>
    </w:lvl>
    <w:lvl w:ilvl="7" w:tplc="831684EC">
      <w:numFmt w:val="decimal"/>
      <w:lvlText w:val=""/>
      <w:lvlJc w:val="left"/>
    </w:lvl>
    <w:lvl w:ilvl="8" w:tplc="E7E4A35A">
      <w:numFmt w:val="decimal"/>
      <w:lvlText w:val=""/>
      <w:lvlJc w:val="left"/>
    </w:lvl>
  </w:abstractNum>
  <w:num w:numId="1" w16cid:durableId="1017272067">
    <w:abstractNumId w:val="3"/>
  </w:num>
  <w:num w:numId="2" w16cid:durableId="365260273">
    <w:abstractNumId w:val="1"/>
  </w:num>
  <w:num w:numId="3" w16cid:durableId="372580439">
    <w:abstractNumId w:val="0"/>
  </w:num>
  <w:num w:numId="4" w16cid:durableId="707218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FA2"/>
    <w:rsid w:val="00040686"/>
    <w:rsid w:val="004D551F"/>
    <w:rsid w:val="00667FA2"/>
    <w:rsid w:val="00D8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DD1B674"/>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322660/" TargetMode="External"/><Relationship Id="rId13" Type="http://schemas.openxmlformats.org/officeDocument/2006/relationships/hyperlink" Target="https://pmc.ncbi.nlm.nih.gov/articles/PMC5328971/" TargetMode="External"/><Relationship Id="rId3" Type="http://schemas.openxmlformats.org/officeDocument/2006/relationships/settings" Target="settings.xml"/><Relationship Id="rId7" Type="http://schemas.openxmlformats.org/officeDocument/2006/relationships/hyperlink" Target="https://orionpeptides.org/product/selank-5mg/" TargetMode="External"/><Relationship Id="rId12" Type="http://schemas.openxmlformats.org/officeDocument/2006/relationships/hyperlink" Target="https://pubmed.ncbi.nlm.nih.gov/2517626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rionpeptides.org/product/selank-5mg/" TargetMode="External"/><Relationship Id="rId11" Type="http://schemas.openxmlformats.org/officeDocument/2006/relationships/hyperlink" Target="https://pmc.ncbi.nlm.nih.gov/articles/PMC3987924/" TargetMode="External"/><Relationship Id="rId5" Type="http://schemas.openxmlformats.org/officeDocument/2006/relationships/hyperlink" Target="https://orionpeptides.org/product/selank-5mg/" TargetMode="External"/><Relationship Id="rId15" Type="http://schemas.openxmlformats.org/officeDocument/2006/relationships/fontTable" Target="fontTable.xml"/><Relationship Id="rId10" Type="http://schemas.openxmlformats.org/officeDocument/2006/relationships/hyperlink" Target="https://pubmed.ncbi.nlm.nih.gov/16996037/" TargetMode="External"/><Relationship Id="rId4" Type="http://schemas.openxmlformats.org/officeDocument/2006/relationships/webSettings" Target="webSettings.xml"/><Relationship Id="rId9" Type="http://schemas.openxmlformats.org/officeDocument/2006/relationships/hyperlink" Target="https://pmc.ncbi.nlm.nih.gov/articles/PMC4757669/" TargetMode="External"/><Relationship Id="rId14" Type="http://schemas.openxmlformats.org/officeDocument/2006/relationships/hyperlink" Target="https://pubmed.ncbi.nlm.nih.gov/32342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2301</Words>
  <Characters>13118</Characters>
  <Application>Microsoft Office Word</Application>
  <DocSecurity>0</DocSecurity>
  <Lines>109</Lines>
  <Paragraphs>30</Paragraphs>
  <ScaleCrop>false</ScaleCrop>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2026-05-04T17:40:00Z</dcterms:created>
  <dcterms:modified xsi:type="dcterms:W3CDTF">2026-05-04T17:40:00Z</dcterms:modified>
</cp:coreProperties>
</file>