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377B6" w14:textId="7647237D" w:rsidR="00812618" w:rsidRDefault="00C55463">
      <w:pPr>
        <w:spacing w:after="0" w:line="360" w:lineRule="auto"/>
      </w:pPr>
      <w:r w:rsidRPr="00C55463">
        <w:t>https://orionpeptides.org/tesamorelin-vs-ipamorelin/</w:t>
      </w:r>
    </w:p>
    <w:p w14:paraId="158448D4" w14:textId="77777777" w:rsidR="00812618" w:rsidRDefault="00000000">
      <w:pPr>
        <w:spacing w:before="157" w:after="157" w:line="270" w:lineRule="auto"/>
      </w:pPr>
      <w:bookmarkStart w:id="0" w:name="read_our_blog_posts"/>
      <w:r>
        <w:rPr>
          <w:rFonts w:eastAsia="Georgia" w:hAnsi="Georgia" w:cs="Georgia"/>
          <w:b/>
          <w:color w:val="000000"/>
          <w:sz w:val="39"/>
        </w:rPr>
        <w:t>Read Our Blog Posts</w:t>
      </w:r>
      <w:bookmarkEnd w:id="0"/>
    </w:p>
    <w:p w14:paraId="0EEA99FA" w14:textId="77777777" w:rsidR="00812618" w:rsidRDefault="00000000">
      <w:pPr>
        <w:spacing w:after="210" w:line="360" w:lineRule="auto"/>
      </w:pPr>
      <w:r>
        <w:rPr>
          <w:rFonts w:eastAsia="Georgia" w:hAnsi="Georgia" w:cs="Georgia"/>
          <w:color w:val="000000"/>
        </w:rPr>
        <w:t>Tesamorelin vs. Ipamorelin: Which is More Effective for Growth Hormone Research?</w:t>
      </w:r>
      <w:r>
        <w:rPr>
          <w:rFonts w:eastAsia="Georgia" w:hAnsi="Georgia" w:cs="Georgia"/>
          <w:color w:val="000000"/>
        </w:rPr>
        <w:br/>
        <w:t>The focus of growth hormone studies has shifted to peptide-based compounds that regulate endogenous hormone signaling pathways. </w:t>
      </w:r>
      <w:hyperlink r:id="rId5">
        <w:r>
          <w:rPr>
            <w:rFonts w:ascii="Helvetica Neue" w:eastAsia="Helvetica Neue" w:hAnsi="Helvetica Neue" w:cs="Helvetica Neue"/>
            <w:u w:val="single"/>
          </w:rPr>
          <w:t>Tesamorelin</w:t>
        </w:r>
      </w:hyperlink>
      <w:r>
        <w:rPr>
          <w:rFonts w:eastAsia="Georgia" w:hAnsi="Georgia" w:cs="Georgia"/>
          <w:color w:val="000000"/>
        </w:rPr>
        <w:t> and </w:t>
      </w:r>
      <w:hyperlink r:id="rId6">
        <w:r>
          <w:rPr>
            <w:rFonts w:ascii="Helvetica Neue" w:eastAsia="Helvetica Neue" w:hAnsi="Helvetica Neue" w:cs="Helvetica Neue"/>
            <w:u w:val="single"/>
          </w:rPr>
          <w:t>Ipamorelin</w:t>
        </w:r>
      </w:hyperlink>
      <w:r>
        <w:rPr>
          <w:rFonts w:eastAsia="Georgia" w:hAnsi="Georgia" w:cs="Georgia"/>
          <w:color w:val="000000"/>
        </w:rPr>
        <w:t> are two common compounds that are studied in this category.</w:t>
      </w:r>
      <w:r>
        <w:rPr>
          <w:rFonts w:eastAsia="Georgia" w:hAnsi="Georgia" w:cs="Georgia"/>
          <w:color w:val="000000"/>
        </w:rPr>
        <w:br/>
        <w:t>Both of the peptides are examined in regard to their capability to stimulate growth hormone (GH) release in controlled laboratory settings. Their mechanisms, signaling pathways, and research findings, however, vary considerably.</w:t>
      </w:r>
      <w:r>
        <w:rPr>
          <w:rFonts w:eastAsia="Georgia" w:hAnsi="Georgia" w:cs="Georgia"/>
          <w:color w:val="000000"/>
        </w:rPr>
        <w:br/>
        <w:t>The article offers a comparative study of Tesamorelin vs Ipamorelin based on the mechanism of action, experimental results, and the effectiveness of the two drugs in GH-related research.</w:t>
      </w:r>
      <w:r>
        <w:rPr>
          <w:rFonts w:eastAsia="Georgia" w:hAnsi="Georgia" w:cs="Georgia"/>
          <w:color w:val="000000"/>
        </w:rPr>
        <w:br/>
        <w:t>Table of Contents</w:t>
      </w:r>
      <w:r>
        <w:rPr>
          <w:rFonts w:eastAsia="Georgia" w:hAnsi="Georgia" w:cs="Georgia"/>
          <w:color w:val="000000"/>
        </w:rPr>
        <w:br/>
      </w:r>
      <w:hyperlink r:id="rId7" w:anchor="what-is-tesamorelin">
        <w:r>
          <w:rPr>
            <w:rFonts w:ascii="Helvetica Neue" w:eastAsia="Helvetica Neue" w:hAnsi="Helvetica Neue" w:cs="Helvetica Neue"/>
            <w:u w:val="single"/>
          </w:rPr>
          <w:t>What is Tesamorelin?</w:t>
        </w:r>
      </w:hyperlink>
      <w:r>
        <w:rPr>
          <w:rFonts w:eastAsia="Georgia" w:hAnsi="Georgia" w:cs="Georgia"/>
          <w:color w:val="000000"/>
        </w:rPr>
        <w:br/>
      </w:r>
      <w:hyperlink r:id="rId8" w:anchor="key-characteristics-of-tesamorelin">
        <w:r>
          <w:rPr>
            <w:rFonts w:ascii="Helvetica Neue" w:eastAsia="Helvetica Neue" w:hAnsi="Helvetica Neue" w:cs="Helvetica Neue"/>
            <w:u w:val="single"/>
          </w:rPr>
          <w:t>Key Characteristics of Tesamorelin</w:t>
        </w:r>
      </w:hyperlink>
      <w:r>
        <w:rPr>
          <w:rFonts w:eastAsia="Georgia" w:hAnsi="Georgia" w:cs="Georgia"/>
          <w:color w:val="000000"/>
        </w:rPr>
        <w:br/>
      </w:r>
      <w:hyperlink r:id="rId9" w:anchor="what-is-ipamorelin">
        <w:r>
          <w:rPr>
            <w:rFonts w:ascii="Helvetica Neue" w:eastAsia="Helvetica Neue" w:hAnsi="Helvetica Neue" w:cs="Helvetica Neue"/>
            <w:u w:val="single"/>
          </w:rPr>
          <w:t>What is Ipamorelin?</w:t>
        </w:r>
      </w:hyperlink>
      <w:r>
        <w:rPr>
          <w:rFonts w:eastAsia="Georgia" w:hAnsi="Georgia" w:cs="Georgia"/>
          <w:color w:val="000000"/>
        </w:rPr>
        <w:br/>
      </w:r>
      <w:hyperlink r:id="rId10" w:anchor="key-characteristics-of-iparmorelin">
        <w:r>
          <w:rPr>
            <w:rFonts w:ascii="Helvetica Neue" w:eastAsia="Helvetica Neue" w:hAnsi="Helvetica Neue" w:cs="Helvetica Neue"/>
            <w:u w:val="single"/>
          </w:rPr>
          <w:t>Key Characteristics of Iparmorelin</w:t>
        </w:r>
      </w:hyperlink>
      <w:r>
        <w:rPr>
          <w:rFonts w:eastAsia="Georgia" w:hAnsi="Georgia" w:cs="Georgia"/>
          <w:color w:val="000000"/>
        </w:rPr>
        <w:br/>
      </w:r>
      <w:hyperlink r:id="rId11" w:anchor="comparison-of-tesamorelin-vs-ipamorelin-mechanism-of-action-in-lab-environment">
        <w:r>
          <w:rPr>
            <w:rFonts w:ascii="Helvetica Neue" w:eastAsia="Helvetica Neue" w:hAnsi="Helvetica Neue" w:cs="Helvetica Neue"/>
            <w:u w:val="single"/>
          </w:rPr>
          <w:t>Comparison of Tesamorelin vs. Ipamorelin: Mechanism of Action in Lab Environment</w:t>
        </w:r>
      </w:hyperlink>
      <w:r>
        <w:rPr>
          <w:rFonts w:eastAsia="Georgia" w:hAnsi="Georgia" w:cs="Georgia"/>
          <w:color w:val="000000"/>
        </w:rPr>
        <w:br/>
      </w:r>
      <w:hyperlink r:id="rId12" w:anchor="key-mechanistic-difference-between-ipamorelin-and-tesamoreline">
        <w:r>
          <w:rPr>
            <w:rFonts w:ascii="Helvetica Neue" w:eastAsia="Helvetica Neue" w:hAnsi="Helvetica Neue" w:cs="Helvetica Neue"/>
            <w:u w:val="single"/>
          </w:rPr>
          <w:t>Key Mechanistic Difference Between Ipamorelin and Tesamoreline</w:t>
        </w:r>
      </w:hyperlink>
      <w:r>
        <w:rPr>
          <w:rFonts w:eastAsia="Georgia" w:hAnsi="Georgia" w:cs="Georgia"/>
          <w:color w:val="000000"/>
        </w:rPr>
        <w:br/>
      </w:r>
      <w:hyperlink r:id="rId13" w:anchor="growth-hormone-secretion-in-research-models">
        <w:r>
          <w:rPr>
            <w:rFonts w:ascii="Helvetica Neue" w:eastAsia="Helvetica Neue" w:hAnsi="Helvetica Neue" w:cs="Helvetica Neue"/>
            <w:u w:val="single"/>
          </w:rPr>
          <w:t>Growth Hormone Secretion in Research Models</w:t>
        </w:r>
      </w:hyperlink>
      <w:r>
        <w:rPr>
          <w:rFonts w:eastAsia="Georgia" w:hAnsi="Georgia" w:cs="Georgia"/>
          <w:color w:val="000000"/>
        </w:rPr>
        <w:br/>
      </w:r>
      <w:hyperlink r:id="rId14" w:anchor="research-observations">
        <w:r>
          <w:rPr>
            <w:rFonts w:ascii="Helvetica Neue" w:eastAsia="Helvetica Neue" w:hAnsi="Helvetica Neue" w:cs="Helvetica Neue"/>
            <w:u w:val="single"/>
          </w:rPr>
          <w:t>Research Observations</w:t>
        </w:r>
      </w:hyperlink>
      <w:r>
        <w:rPr>
          <w:rFonts w:eastAsia="Georgia" w:hAnsi="Georgia" w:cs="Georgia"/>
          <w:color w:val="000000"/>
        </w:rPr>
        <w:br/>
      </w:r>
      <w:hyperlink r:id="rId15" w:anchor="metabolic-pathway-effects">
        <w:r>
          <w:rPr>
            <w:rFonts w:ascii="Helvetica Neue" w:eastAsia="Helvetica Neue" w:hAnsi="Helvetica Neue" w:cs="Helvetica Neue"/>
            <w:u w:val="single"/>
          </w:rPr>
          <w:t>Metabolic Pathway Effects</w:t>
        </w:r>
      </w:hyperlink>
      <w:r>
        <w:rPr>
          <w:rFonts w:eastAsia="Georgia" w:hAnsi="Georgia" w:cs="Georgia"/>
          <w:color w:val="000000"/>
        </w:rPr>
        <w:br/>
      </w:r>
      <w:hyperlink r:id="rId16" w:anchor="safety-profile-in-research-situation">
        <w:r>
          <w:rPr>
            <w:rFonts w:ascii="Helvetica Neue" w:eastAsia="Helvetica Neue" w:hAnsi="Helvetica Neue" w:cs="Helvetica Neue"/>
            <w:u w:val="single"/>
          </w:rPr>
          <w:t>Safety Profile in Research Situation</w:t>
        </w:r>
      </w:hyperlink>
      <w:r>
        <w:rPr>
          <w:rFonts w:eastAsia="Georgia" w:hAnsi="Georgia" w:cs="Georgia"/>
          <w:color w:val="000000"/>
        </w:rPr>
        <w:br/>
      </w:r>
      <w:hyperlink r:id="rId17" w:anchor="tesamorelin-vs-ipamorelin-side-by-side-comparison">
        <w:r>
          <w:rPr>
            <w:rFonts w:ascii="Helvetica Neue" w:eastAsia="Helvetica Neue" w:hAnsi="Helvetica Neue" w:cs="Helvetica Neue"/>
            <w:u w:val="single"/>
          </w:rPr>
          <w:t>Tesamorelin vs Ipamorelin: Side-by-Side Comparison</w:t>
        </w:r>
      </w:hyperlink>
      <w:r>
        <w:rPr>
          <w:rFonts w:eastAsia="Georgia" w:hAnsi="Georgia" w:cs="Georgia"/>
          <w:color w:val="000000"/>
        </w:rPr>
        <w:br/>
      </w:r>
      <w:hyperlink r:id="rId18" w:anchor="tesamorelin-vs-ipamorelin-half-life-and-stability">
        <w:r>
          <w:rPr>
            <w:rFonts w:ascii="Helvetica Neue" w:eastAsia="Helvetica Neue" w:hAnsi="Helvetica Neue" w:cs="Helvetica Neue"/>
            <w:u w:val="single"/>
          </w:rPr>
          <w:t>Tesamorelin vs Ipamorelin Half-Life and Stability</w:t>
        </w:r>
      </w:hyperlink>
      <w:r>
        <w:rPr>
          <w:rFonts w:eastAsia="Georgia" w:hAnsi="Georgia" w:cs="Georgia"/>
          <w:color w:val="000000"/>
        </w:rPr>
        <w:br/>
      </w:r>
      <w:hyperlink r:id="rId19" w:anchor="which-peptide-produces-higher-igf-1-levels-in-research">
        <w:r>
          <w:rPr>
            <w:rFonts w:ascii="Helvetica Neue" w:eastAsia="Helvetica Neue" w:hAnsi="Helvetica Neue" w:cs="Helvetica Neue"/>
            <w:u w:val="single"/>
          </w:rPr>
          <w:t>Which Peptide Produces Higher IGF-1 Levels in Research?</w:t>
        </w:r>
      </w:hyperlink>
      <w:r>
        <w:rPr>
          <w:rFonts w:eastAsia="Georgia" w:hAnsi="Georgia" w:cs="Georgia"/>
          <w:color w:val="000000"/>
        </w:rPr>
        <w:br/>
      </w:r>
      <w:hyperlink r:id="rId20" w:anchor="research-applications-of-tesamorelin-and-ipamorelin">
        <w:r>
          <w:rPr>
            <w:rFonts w:ascii="Helvetica Neue" w:eastAsia="Helvetica Neue" w:hAnsi="Helvetica Neue" w:cs="Helvetica Neue"/>
            <w:u w:val="single"/>
          </w:rPr>
          <w:t>Research Applications of Tesamorelin and Ipamorelin</w:t>
        </w:r>
      </w:hyperlink>
      <w:r>
        <w:rPr>
          <w:rFonts w:eastAsia="Georgia" w:hAnsi="Georgia" w:cs="Georgia"/>
          <w:color w:val="000000"/>
        </w:rPr>
        <w:br/>
      </w:r>
      <w:hyperlink r:id="rId21" w:anchor="which-of-the-two-tesamorelin-and-ipamoreline-is-better-in-terms-of-research-on-growth-hormones">
        <w:r>
          <w:rPr>
            <w:rFonts w:ascii="Helvetica Neue" w:eastAsia="Helvetica Neue" w:hAnsi="Helvetica Neue" w:cs="Helvetica Neue"/>
            <w:u w:val="single"/>
          </w:rPr>
          <w:t>Which of the two, tesamorelin and ipamoreline, is better in terms of research on growth hormones?</w:t>
        </w:r>
      </w:hyperlink>
      <w:r>
        <w:rPr>
          <w:rFonts w:eastAsia="Georgia" w:hAnsi="Georgia" w:cs="Georgia"/>
          <w:color w:val="000000"/>
        </w:rPr>
        <w:br/>
      </w:r>
      <w:hyperlink r:id="rId22" w:anchor="frequently-asked-questions">
        <w:r>
          <w:rPr>
            <w:rFonts w:ascii="Helvetica Neue" w:eastAsia="Helvetica Neue" w:hAnsi="Helvetica Neue" w:cs="Helvetica Neue"/>
            <w:u w:val="single"/>
          </w:rPr>
          <w:t>Frequently Asked Questions</w:t>
        </w:r>
      </w:hyperlink>
      <w:r>
        <w:rPr>
          <w:rFonts w:eastAsia="Georgia" w:hAnsi="Georgia" w:cs="Georgia"/>
          <w:color w:val="000000"/>
        </w:rPr>
        <w:br/>
      </w:r>
      <w:hyperlink r:id="rId23" w:anchor="final-thoughts">
        <w:r>
          <w:rPr>
            <w:rFonts w:ascii="Helvetica Neue" w:eastAsia="Helvetica Neue" w:hAnsi="Helvetica Neue" w:cs="Helvetica Neue"/>
            <w:u w:val="single"/>
          </w:rPr>
          <w:t>Final Thoughts</w:t>
        </w:r>
      </w:hyperlink>
      <w:r>
        <w:rPr>
          <w:rFonts w:eastAsia="Georgia" w:hAnsi="Georgia" w:cs="Georgia"/>
          <w:color w:val="000000"/>
        </w:rPr>
        <w:br/>
      </w:r>
      <w:hyperlink r:id="rId24" w:anchor="research-use-disclaimer">
        <w:r>
          <w:rPr>
            <w:rFonts w:ascii="Helvetica Neue" w:eastAsia="Helvetica Neue" w:hAnsi="Helvetica Neue" w:cs="Helvetica Neue"/>
            <w:u w:val="single"/>
          </w:rPr>
          <w:t>Research Use Disclaimer</w:t>
        </w:r>
      </w:hyperlink>
      <w:r>
        <w:rPr>
          <w:rFonts w:eastAsia="Georgia" w:hAnsi="Georgia" w:cs="Georgia"/>
          <w:color w:val="000000"/>
        </w:rPr>
        <w:br/>
      </w:r>
      <w:hyperlink r:id="rId25" w:anchor="references">
        <w:r>
          <w:rPr>
            <w:rFonts w:ascii="Helvetica Neue" w:eastAsia="Helvetica Neue" w:hAnsi="Helvetica Neue" w:cs="Helvetica Neue"/>
            <w:u w:val="single"/>
          </w:rPr>
          <w:t>References</w:t>
        </w:r>
      </w:hyperlink>
      <w:r>
        <w:rPr>
          <w:rFonts w:eastAsia="Georgia" w:hAnsi="Georgia" w:cs="Georgia"/>
          <w:color w:val="000000"/>
        </w:rPr>
        <w:br/>
        <w:t>What is Tesamorelin?</w:t>
      </w:r>
      <w:r>
        <w:rPr>
          <w:rFonts w:eastAsia="Georgia" w:hAnsi="Georgia" w:cs="Georgia"/>
          <w:color w:val="000000"/>
        </w:rPr>
        <w:br/>
        <w:t>Tesamorelin is a man-made analog of the growth hormone-releasing hormone (GH-RH). It binds to GHRH receptors in the pituitary, stimulating GH secretion in research studies.</w:t>
      </w:r>
      <w:r>
        <w:rPr>
          <w:rFonts w:eastAsia="Georgia" w:hAnsi="Georgia" w:cs="Georgia"/>
          <w:color w:val="000000"/>
        </w:rPr>
        <w:br/>
      </w:r>
      <w:r>
        <w:rPr>
          <w:rFonts w:eastAsia="Georgia" w:hAnsi="Georgia" w:cs="Georgia"/>
          <w:color w:val="000000"/>
        </w:rPr>
        <w:lastRenderedPageBreak/>
        <w:t>It has improved stability compared to native GHRH, allowing more sustained signaling in experimental settings.</w:t>
      </w:r>
      <w:r>
        <w:rPr>
          <w:rFonts w:eastAsia="Georgia" w:hAnsi="Georgia" w:cs="Georgia"/>
          <w:color w:val="000000"/>
        </w:rPr>
        <w:br/>
        <w:t>Key Characteristics of Tesamorelin</w:t>
      </w:r>
      <w:r>
        <w:rPr>
          <w:rFonts w:eastAsia="Georgia" w:hAnsi="Georgia" w:cs="Georgia"/>
          <w:color w:val="000000"/>
        </w:rPr>
        <w:br/>
        <w:t>Class: GHRH analog</w:t>
      </w:r>
      <w:r>
        <w:rPr>
          <w:rFonts w:eastAsia="Georgia" w:hAnsi="Georgia" w:cs="Georgia"/>
          <w:color w:val="000000"/>
        </w:rPr>
        <w:br/>
        <w:t>Mechanism: Activation of GHRH receptors.</w:t>
      </w:r>
      <w:r>
        <w:rPr>
          <w:rFonts w:eastAsia="Georgia" w:hAnsi="Georgia" w:cs="Georgia"/>
          <w:color w:val="000000"/>
        </w:rPr>
        <w:br/>
        <w:t>Research Area: GH signal, fat metabolism.</w:t>
      </w:r>
      <w:r>
        <w:rPr>
          <w:rFonts w:eastAsia="Georgia" w:hAnsi="Georgia" w:cs="Georgia"/>
          <w:color w:val="000000"/>
        </w:rPr>
        <w:br/>
        <w:t>Stability: Improved over native GHRH.</w:t>
      </w:r>
      <w:r>
        <w:rPr>
          <w:rFonts w:eastAsia="Georgia" w:hAnsi="Georgia" w:cs="Georgia"/>
          <w:color w:val="000000"/>
        </w:rPr>
        <w:br/>
        <w:t>Tesamorelin is among the limited number of peptides in this group that have both clinical and translational research data published and is thus a commonly used in research literature.</w:t>
      </w:r>
      <w:r>
        <w:rPr>
          <w:rFonts w:eastAsia="Georgia" w:hAnsi="Georgia" w:cs="Georgia"/>
          <w:color w:val="000000"/>
        </w:rPr>
        <w:br/>
        <w:t>What is Ipamorelin?</w:t>
      </w:r>
      <w:r>
        <w:rPr>
          <w:rFonts w:eastAsia="Georgia" w:hAnsi="Georgia" w:cs="Georgia"/>
          <w:color w:val="000000"/>
        </w:rPr>
        <w:br/>
        <w:t>Ipamorelin is a selective growth hormone secretagogue (GHS) that binds to the ghrelin (GHS-R1a) receptor. It is widely employed in laboratory research to analyze pulsatile GH release. It is said to be receptor-selective with little interaction in cortisol or prolactin-release pathways in preclinical models.</w:t>
      </w:r>
      <w:r>
        <w:rPr>
          <w:rFonts w:eastAsia="Georgia" w:hAnsi="Georgia" w:cs="Georgia"/>
          <w:color w:val="000000"/>
        </w:rPr>
        <w:br/>
        <w:t>Key Characteristics of Iparmorelin</w:t>
      </w:r>
      <w:r>
        <w:rPr>
          <w:rFonts w:eastAsia="Georgia" w:hAnsi="Georgia" w:cs="Georgia"/>
          <w:color w:val="000000"/>
        </w:rPr>
        <w:br/>
        <w:t>Type: Ghrelin receptor agonist.</w:t>
      </w:r>
      <w:r>
        <w:rPr>
          <w:rFonts w:eastAsia="Georgia" w:hAnsi="Georgia" w:cs="Georgia"/>
          <w:color w:val="000000"/>
        </w:rPr>
        <w:br/>
        <w:t>Mechanism: GHS-R1a receptor stimulation.</w:t>
      </w:r>
      <w:r>
        <w:rPr>
          <w:rFonts w:eastAsia="Georgia" w:hAnsi="Georgia" w:cs="Georgia"/>
          <w:color w:val="000000"/>
        </w:rPr>
        <w:br/>
        <w:t>Research Area: GH pulsatility, signal transduction.</w:t>
      </w:r>
      <w:r>
        <w:rPr>
          <w:rFonts w:eastAsia="Georgia" w:hAnsi="Georgia" w:cs="Georgia"/>
          <w:color w:val="000000"/>
        </w:rPr>
        <w:br/>
        <w:t>Selectivity: High specificity of receptors.</w:t>
      </w:r>
      <w:r>
        <w:rPr>
          <w:rFonts w:eastAsia="Georgia" w:hAnsi="Georgia" w:cs="Georgia"/>
          <w:color w:val="000000"/>
        </w:rPr>
        <w:br/>
        <w:t>The Ipamorelin is mainly researched in preclinical and early-stage experimental settings.</w:t>
      </w:r>
      <w:r>
        <w:rPr>
          <w:rFonts w:eastAsia="Georgia" w:hAnsi="Georgia" w:cs="Georgia"/>
          <w:color w:val="000000"/>
        </w:rPr>
        <w:br/>
        <w:t>Comparison of Tesamorelin vs. Ipamorelin: Mechanism of Action in Lab Environment</w:t>
      </w:r>
    </w:p>
    <w:p w14:paraId="5921BEB2" w14:textId="77777777" w:rsidR="00812618" w:rsidRDefault="00000000">
      <w:pPr>
        <w:numPr>
          <w:ilvl w:val="0"/>
          <w:numId w:val="1"/>
        </w:numPr>
        <w:spacing w:before="105" w:after="105" w:line="360" w:lineRule="auto"/>
      </w:pPr>
      <w:r>
        <w:rPr>
          <w:rFonts w:eastAsia="Georgia" w:hAnsi="Georgia" w:cs="Georgia"/>
          <w:color w:val="000000"/>
        </w:rPr>
        <w:t>Tesamorelin Mechanism</w:t>
      </w:r>
      <w:r>
        <w:rPr>
          <w:rFonts w:eastAsia="Georgia" w:hAnsi="Georgia" w:cs="Georgia"/>
          <w:color w:val="000000"/>
        </w:rPr>
        <w:br/>
        <w:t>The action of Tesamorelin is on GHRH receptors that are in the pituitary axis. In a system under experiment, this results in:</w:t>
      </w:r>
      <w:r>
        <w:rPr>
          <w:rFonts w:eastAsia="Georgia" w:hAnsi="Georgia" w:cs="Georgia"/>
          <w:color w:val="000000"/>
        </w:rPr>
        <w:br/>
        <w:t>Significant GH secretion signaling.</w:t>
      </w:r>
      <w:r>
        <w:rPr>
          <w:rFonts w:eastAsia="Georgia" w:hAnsi="Georgia" w:cs="Georgia"/>
          <w:color w:val="000000"/>
        </w:rPr>
        <w:br/>
        <w:t>High levels of downstream IGF-1 expression.</w:t>
      </w:r>
      <w:r>
        <w:rPr>
          <w:rFonts w:eastAsia="Georgia" w:hAnsi="Georgia" w:cs="Georgia"/>
          <w:color w:val="000000"/>
        </w:rPr>
        <w:br/>
        <w:t>Lipid metabolism pathways modulation.</w:t>
      </w:r>
    </w:p>
    <w:p w14:paraId="7E9D9950" w14:textId="77777777" w:rsidR="00812618" w:rsidRDefault="00000000">
      <w:pPr>
        <w:numPr>
          <w:ilvl w:val="0"/>
          <w:numId w:val="1"/>
        </w:numPr>
        <w:spacing w:before="105" w:after="105" w:line="360" w:lineRule="auto"/>
      </w:pPr>
      <w:r>
        <w:rPr>
          <w:rFonts w:eastAsia="Georgia" w:hAnsi="Georgia" w:cs="Georgia"/>
          <w:color w:val="000000"/>
        </w:rPr>
        <w:t>Ipamorelin Mechanism</w:t>
      </w:r>
      <w:r>
        <w:rPr>
          <w:rFonts w:eastAsia="Georgia" w:hAnsi="Georgia" w:cs="Georgia"/>
          <w:color w:val="000000"/>
        </w:rPr>
        <w:br/>
        <w:t>Ipamorelin attaches itself to ghrelin receptors (GHS-R1a). The outcome of this interaction is:</w:t>
      </w:r>
      <w:r>
        <w:rPr>
          <w:rFonts w:eastAsia="Georgia" w:hAnsi="Georgia" w:cs="Georgia"/>
          <w:color w:val="000000"/>
        </w:rPr>
        <w:br/>
        <w:t>Patterns of pulsatile GH release.</w:t>
      </w:r>
      <w:r>
        <w:rPr>
          <w:rFonts w:eastAsia="Georgia" w:hAnsi="Georgia" w:cs="Georgia"/>
          <w:color w:val="000000"/>
        </w:rPr>
        <w:br/>
        <w:t>Activation of some appetite-related signaling pathways in certain models.</w:t>
      </w:r>
      <w:r>
        <w:rPr>
          <w:rFonts w:eastAsia="Georgia" w:hAnsi="Georgia" w:cs="Georgia"/>
          <w:color w:val="000000"/>
        </w:rPr>
        <w:br/>
        <w:t>Little exposure to stress hormone systems.</w:t>
      </w:r>
      <w:r>
        <w:rPr>
          <w:rFonts w:eastAsia="Georgia" w:hAnsi="Georgia" w:cs="Georgia"/>
          <w:color w:val="000000"/>
        </w:rPr>
        <w:br/>
        <w:t>Key Mechanistic Difference Between Ipamorelin and Tesamoreline</w:t>
      </w:r>
      <w:r>
        <w:rPr>
          <w:rFonts w:eastAsia="Georgia" w:hAnsi="Georgia" w:cs="Georgia"/>
          <w:color w:val="000000"/>
        </w:rPr>
        <w:br/>
        <w:t>Tesamorelin targets the GHRH signalling.</w:t>
      </w:r>
      <w:r>
        <w:rPr>
          <w:rFonts w:eastAsia="Georgia" w:hAnsi="Georgia" w:cs="Georgia"/>
          <w:color w:val="000000"/>
        </w:rPr>
        <w:br/>
        <w:t>Ipamorelin is a ghrelin receptor agonist.</w:t>
      </w:r>
      <w:r>
        <w:rPr>
          <w:rFonts w:eastAsia="Georgia" w:hAnsi="Georgia" w:cs="Georgia"/>
          <w:color w:val="000000"/>
        </w:rPr>
        <w:br/>
        <w:t>The different mechanisms yield varying research findings on GH dynamics.</w:t>
      </w:r>
      <w:r>
        <w:rPr>
          <w:rFonts w:eastAsia="Georgia" w:hAnsi="Georgia" w:cs="Georgia"/>
          <w:color w:val="000000"/>
        </w:rPr>
        <w:br/>
        <w:t>Growth Hormone Secretion in Research Models</w:t>
      </w:r>
      <w:r>
        <w:rPr>
          <w:rFonts w:eastAsia="Georgia" w:hAnsi="Georgia" w:cs="Georgia"/>
          <w:color w:val="000000"/>
        </w:rPr>
        <w:br/>
      </w:r>
      <w:r>
        <w:rPr>
          <w:rFonts w:eastAsia="Georgia" w:hAnsi="Georgia" w:cs="Georgia"/>
          <w:color w:val="000000"/>
        </w:rPr>
        <w:lastRenderedPageBreak/>
        <w:t>The experimental evidence suggests that under the controlled conditions, Tesamorelin causes a longer-term increase in the GH and IGF-1 biomarkers.</w:t>
      </w:r>
      <w:r>
        <w:rPr>
          <w:rFonts w:eastAsia="Georgia" w:hAnsi="Georgia" w:cs="Georgia"/>
          <w:color w:val="000000"/>
        </w:rPr>
        <w:br/>
        <w:t>Conversely, Ipamorelin is linked to intermittent GH pulses that have frequently been employed to investigate physiological secretion patterns.</w:t>
      </w:r>
      <w:r>
        <w:rPr>
          <w:rFonts w:eastAsia="Georgia" w:hAnsi="Georgia" w:cs="Georgia"/>
          <w:color w:val="000000"/>
        </w:rPr>
        <w:br/>
        <w:t>Research Observations</w:t>
      </w:r>
      <w:r>
        <w:rPr>
          <w:rFonts w:eastAsia="Georgia" w:hAnsi="Georgia" w:cs="Georgia"/>
          <w:color w:val="000000"/>
        </w:rPr>
        <w:br/>
        <w:t>Tesamorelin: Prolonged GH pathway stimulation.</w:t>
      </w:r>
      <w:r>
        <w:rPr>
          <w:rFonts w:eastAsia="Georgia" w:hAnsi="Georgia" w:cs="Georgia"/>
          <w:color w:val="000000"/>
        </w:rPr>
        <w:br/>
        <w:t>Ipamorelin: Pulsatile GH-stimulation.</w:t>
      </w:r>
      <w:r>
        <w:rPr>
          <w:rFonts w:eastAsia="Georgia" w:hAnsi="Georgia" w:cs="Georgia"/>
          <w:color w:val="000000"/>
        </w:rPr>
        <w:br/>
        <w:t>Tesamorelin is commonly chosen as a reference compound in studies that need to maintain a constant level of biomarkers.</w:t>
      </w:r>
      <w:r>
        <w:rPr>
          <w:rFonts w:eastAsia="Georgia" w:hAnsi="Georgia" w:cs="Georgia"/>
          <w:color w:val="000000"/>
        </w:rPr>
        <w:br/>
        <w:t>Metabolic Pathway Effects</w:t>
      </w:r>
      <w:r>
        <w:rPr>
          <w:rFonts w:eastAsia="Georgia" w:hAnsi="Georgia" w:cs="Georgia"/>
          <w:color w:val="000000"/>
        </w:rPr>
        <w:br/>
        <w:t>Tesamorelin in Metabolic Research.</w:t>
      </w:r>
      <w:r>
        <w:rPr>
          <w:rFonts w:eastAsia="Georgia" w:hAnsi="Georgia" w:cs="Georgia"/>
          <w:color w:val="000000"/>
        </w:rPr>
        <w:br/>
        <w:t>The use of Tesamorelin has been tested in research on adipose tissue signaling and lipid metabolism.</w:t>
      </w:r>
      <w:r>
        <w:rPr>
          <w:rFonts w:eastAsia="Georgia" w:hAnsi="Georgia" w:cs="Georgia"/>
          <w:color w:val="000000"/>
        </w:rPr>
        <w:br/>
        <w:t>Controlled studies have reported finding:</w:t>
      </w:r>
      <w:r>
        <w:rPr>
          <w:rFonts w:eastAsia="Georgia" w:hAnsi="Georgia" w:cs="Georgia"/>
          <w:color w:val="000000"/>
        </w:rPr>
        <w:br/>
        <w:t>Associated with changes in visceral adipose tissue markers in specific clinical research populations</w:t>
      </w:r>
      <w:r>
        <w:rPr>
          <w:rFonts w:eastAsia="Georgia" w:hAnsi="Georgia" w:cs="Georgia"/>
          <w:color w:val="000000"/>
        </w:rPr>
        <w:br/>
        <w:t>Lipid metabolic pathways modulation.</w:t>
      </w:r>
      <w:r>
        <w:rPr>
          <w:rFonts w:eastAsia="Georgia" w:hAnsi="Georgia" w:cs="Georgia"/>
          <w:color w:val="000000"/>
        </w:rPr>
        <w:br/>
        <w:t>Alterations in insulin biomarkers.</w:t>
      </w:r>
      <w:r>
        <w:rPr>
          <w:rFonts w:eastAsia="Georgia" w:hAnsi="Georgia" w:cs="Georgia"/>
          <w:color w:val="000000"/>
        </w:rPr>
        <w:br/>
        <w:t>Ipamorelin in Metabolic Research.</w:t>
      </w:r>
      <w:r>
        <w:rPr>
          <w:rFonts w:eastAsia="Georgia" w:hAnsi="Georgia" w:cs="Georgia"/>
          <w:color w:val="000000"/>
        </w:rPr>
        <w:br/>
        <w:t>The ipamorelin is generally subject to research on:</w:t>
      </w:r>
      <w:r>
        <w:rPr>
          <w:rFonts w:eastAsia="Georgia" w:hAnsi="Georgia" w:cs="Georgia"/>
          <w:color w:val="000000"/>
        </w:rPr>
        <w:br/>
        <w:t>Signaling pathways of protein synthesis.</w:t>
      </w:r>
      <w:r>
        <w:rPr>
          <w:rFonts w:eastAsia="Georgia" w:hAnsi="Georgia" w:cs="Georgia"/>
          <w:color w:val="000000"/>
        </w:rPr>
        <w:br/>
        <w:t>Repair of tissues in experimental models.</w:t>
      </w:r>
      <w:r>
        <w:rPr>
          <w:rFonts w:eastAsia="Georgia" w:hAnsi="Georgia" w:cs="Georgia"/>
          <w:color w:val="000000"/>
        </w:rPr>
        <w:br/>
        <w:t>GH pulse and downstream action.</w:t>
      </w:r>
      <w:r>
        <w:rPr>
          <w:rFonts w:eastAsia="Georgia" w:hAnsi="Georgia" w:cs="Georgia"/>
          <w:color w:val="000000"/>
        </w:rPr>
        <w:br/>
        <w:t>Its effect on fat metabolism indicators does not seem as remarkable as that of Tesamorelin in the literature.</w:t>
      </w:r>
      <w:r>
        <w:rPr>
          <w:rFonts w:eastAsia="Georgia" w:hAnsi="Georgia" w:cs="Georgia"/>
          <w:color w:val="000000"/>
        </w:rPr>
        <w:br/>
        <w:t>Safety Profile in Research Situation</w:t>
      </w:r>
    </w:p>
    <w:p w14:paraId="7F0F8C6B" w14:textId="77777777" w:rsidR="00812618" w:rsidRDefault="00000000">
      <w:pPr>
        <w:numPr>
          <w:ilvl w:val="0"/>
          <w:numId w:val="1"/>
        </w:numPr>
        <w:spacing w:before="105" w:after="105" w:line="360" w:lineRule="auto"/>
      </w:pPr>
      <w:r>
        <w:rPr>
          <w:rFonts w:eastAsia="Georgia" w:hAnsi="Georgia" w:cs="Georgia"/>
          <w:color w:val="000000"/>
        </w:rPr>
        <w:t>Tesamorelin</w:t>
      </w:r>
      <w:r>
        <w:rPr>
          <w:rFonts w:eastAsia="Georgia" w:hAnsi="Georgia" w:cs="Georgia"/>
          <w:color w:val="000000"/>
        </w:rPr>
        <w:br/>
        <w:t>Tesamorelin has safety data available from controlled clinical studies in specific indications.</w:t>
      </w:r>
      <w:r>
        <w:rPr>
          <w:rFonts w:eastAsia="Georgia" w:hAnsi="Georgia" w:cs="Georgia"/>
          <w:color w:val="000000"/>
        </w:rPr>
        <w:br/>
        <w:t>Reported observations include:</w:t>
      </w:r>
      <w:r>
        <w:rPr>
          <w:rFonts w:eastAsia="Georgia" w:hAnsi="Georgia" w:cs="Georgia"/>
          <w:color w:val="000000"/>
        </w:rPr>
        <w:br/>
        <w:t> Local injection site reactions in clinical practice.</w:t>
      </w:r>
      <w:r>
        <w:rPr>
          <w:rFonts w:eastAsia="Georgia" w:hAnsi="Georgia" w:cs="Georgia"/>
          <w:color w:val="000000"/>
        </w:rPr>
        <w:br/>
        <w:t> IGF-1 biomarker changes.</w:t>
      </w:r>
    </w:p>
    <w:p w14:paraId="128AD68A" w14:textId="77777777" w:rsidR="00812618" w:rsidRDefault="00000000">
      <w:pPr>
        <w:numPr>
          <w:ilvl w:val="0"/>
          <w:numId w:val="1"/>
        </w:numPr>
        <w:spacing w:before="105" w:after="105" w:line="360" w:lineRule="auto"/>
      </w:pPr>
      <w:r>
        <w:rPr>
          <w:rFonts w:eastAsia="Georgia" w:hAnsi="Georgia" w:cs="Georgia"/>
          <w:color w:val="000000"/>
        </w:rPr>
        <w:t>Ipamorelin</w:t>
      </w:r>
      <w:r>
        <w:rPr>
          <w:rFonts w:eastAsia="Georgia" w:hAnsi="Georgia" w:cs="Georgia"/>
          <w:color w:val="000000"/>
        </w:rPr>
        <w:br/>
        <w:t>Ipamorelin is highly selective in receptor binding experiments, where:</w:t>
      </w:r>
      <w:r>
        <w:rPr>
          <w:rFonts w:eastAsia="Georgia" w:hAnsi="Georgia" w:cs="Georgia"/>
          <w:color w:val="000000"/>
        </w:rPr>
        <w:br/>
        <w:t>Limited interaction with the cortisol pathways was observed.</w:t>
      </w:r>
      <w:r>
        <w:rPr>
          <w:rFonts w:eastAsia="Georgia" w:hAnsi="Georgia" w:cs="Georgia"/>
          <w:color w:val="000000"/>
        </w:rPr>
        <w:br/>
        <w:t>Limited prolactin-related activity</w:t>
      </w:r>
      <w:r>
        <w:rPr>
          <w:rFonts w:eastAsia="Georgia" w:hAnsi="Georgia" w:cs="Georgia"/>
          <w:color w:val="000000"/>
        </w:rPr>
        <w:br/>
        <w:t>Nonetheless, there is a paucity of long-term data available for preclinical and early-stage studies.</w:t>
      </w:r>
      <w:r>
        <w:rPr>
          <w:rFonts w:eastAsia="Georgia" w:hAnsi="Georgia" w:cs="Georgia"/>
          <w:color w:val="000000"/>
        </w:rPr>
        <w:br/>
      </w:r>
      <w:r>
        <w:rPr>
          <w:rFonts w:eastAsia="Georgia" w:hAnsi="Georgia" w:cs="Georgia"/>
          <w:color w:val="000000"/>
        </w:rPr>
        <w:lastRenderedPageBreak/>
        <w:t>Tesamorelin vs Ipamorelin: Side-by-Side Comparison</w:t>
      </w:r>
      <w:r>
        <w:rPr>
          <w:rFonts w:eastAsia="Georgia" w:hAnsi="Georgia" w:cs="Georgia"/>
          <w:color w:val="000000"/>
        </w:rPr>
        <w:br/>
        <w:t>Parameter</w:t>
      </w:r>
      <w:r>
        <w:rPr>
          <w:rFonts w:eastAsia="Georgia" w:hAnsi="Georgia" w:cs="Georgia"/>
          <w:color w:val="000000"/>
        </w:rPr>
        <w:br/>
        <w:t>Tesamorelin </w:t>
      </w:r>
      <w:r>
        <w:rPr>
          <w:rFonts w:eastAsia="Georgia" w:hAnsi="Georgia" w:cs="Georgia"/>
          <w:color w:val="000000"/>
        </w:rPr>
        <w:br/>
        <w:t>Ipamorelin </w:t>
      </w:r>
      <w:r>
        <w:rPr>
          <w:rFonts w:eastAsia="Georgia" w:hAnsi="Georgia" w:cs="Georgia"/>
          <w:color w:val="000000"/>
        </w:rPr>
        <w:br/>
        <w:t>Research Type</w:t>
      </w:r>
      <w:r>
        <w:rPr>
          <w:rFonts w:eastAsia="Georgia" w:hAnsi="Georgia" w:cs="Georgia"/>
          <w:color w:val="000000"/>
        </w:rPr>
        <w:br/>
        <w:t>Clinical + Preclinical</w:t>
      </w:r>
      <w:r>
        <w:rPr>
          <w:rFonts w:eastAsia="Georgia" w:hAnsi="Georgia" w:cs="Georgia"/>
          <w:color w:val="000000"/>
        </w:rPr>
        <w:br/>
        <w:t>Mostly Preclinical</w:t>
      </w:r>
      <w:r>
        <w:rPr>
          <w:rFonts w:eastAsia="Georgia" w:hAnsi="Georgia" w:cs="Georgia"/>
          <w:color w:val="000000"/>
        </w:rPr>
        <w:br/>
        <w:t>GH Signaling   </w:t>
      </w:r>
      <w:r>
        <w:rPr>
          <w:rFonts w:eastAsia="Georgia" w:hAnsi="Georgia" w:cs="Georgia"/>
          <w:color w:val="000000"/>
        </w:rPr>
        <w:br/>
        <w:t>Sustained  </w:t>
      </w:r>
      <w:r>
        <w:rPr>
          <w:rFonts w:eastAsia="Georgia" w:hAnsi="Georgia" w:cs="Georgia"/>
          <w:color w:val="000000"/>
        </w:rPr>
        <w:br/>
        <w:t>Pulsatile  </w:t>
      </w:r>
      <w:r>
        <w:rPr>
          <w:rFonts w:eastAsia="Georgia" w:hAnsi="Georgia" w:cs="Georgia"/>
          <w:color w:val="000000"/>
        </w:rPr>
        <w:br/>
        <w:t>IGF-1 Response </w:t>
      </w:r>
      <w:r>
        <w:rPr>
          <w:rFonts w:eastAsia="Georgia" w:hAnsi="Georgia" w:cs="Georgia"/>
          <w:color w:val="000000"/>
        </w:rPr>
        <w:br/>
        <w:t>Significant  </w:t>
      </w:r>
      <w:r>
        <w:rPr>
          <w:rFonts w:eastAsia="Georgia" w:hAnsi="Georgia" w:cs="Georgia"/>
          <w:color w:val="000000"/>
        </w:rPr>
        <w:br/>
        <w:t>Moderate </w:t>
      </w:r>
      <w:r>
        <w:rPr>
          <w:rFonts w:eastAsia="Georgia" w:hAnsi="Georgia" w:cs="Georgia"/>
          <w:color w:val="000000"/>
        </w:rPr>
        <w:br/>
        <w:t>Metabolic Research</w:t>
      </w:r>
      <w:r>
        <w:rPr>
          <w:rFonts w:eastAsia="Georgia" w:hAnsi="Georgia" w:cs="Georgia"/>
          <w:color w:val="000000"/>
        </w:rPr>
        <w:br/>
        <w:t>Extensive</w:t>
      </w:r>
      <w:r>
        <w:rPr>
          <w:rFonts w:eastAsia="Georgia" w:hAnsi="Georgia" w:cs="Georgia"/>
          <w:color w:val="000000"/>
        </w:rPr>
        <w:br/>
        <w:t>Limited   </w:t>
      </w:r>
      <w:r>
        <w:rPr>
          <w:rFonts w:eastAsia="Georgia" w:hAnsi="Georgia" w:cs="Georgia"/>
          <w:color w:val="000000"/>
        </w:rPr>
        <w:br/>
        <w:t>Data Availability</w:t>
      </w:r>
      <w:r>
        <w:rPr>
          <w:rFonts w:eastAsia="Georgia" w:hAnsi="Georgia" w:cs="Georgia"/>
          <w:color w:val="000000"/>
        </w:rPr>
        <w:br/>
        <w:t>High </w:t>
      </w:r>
      <w:r>
        <w:rPr>
          <w:rFonts w:eastAsia="Georgia" w:hAnsi="Georgia" w:cs="Georgia"/>
          <w:color w:val="000000"/>
        </w:rPr>
        <w:br/>
        <w:t>Moderate   </w:t>
      </w:r>
      <w:r>
        <w:rPr>
          <w:rFonts w:eastAsia="Georgia" w:hAnsi="Georgia" w:cs="Georgia"/>
          <w:color w:val="000000"/>
        </w:rPr>
        <w:br/>
        <w:t>Tesamorelin has a stronger evidence base, particularly in translational research.</w:t>
      </w:r>
      <w:r>
        <w:rPr>
          <w:rFonts w:eastAsia="Georgia" w:hAnsi="Georgia" w:cs="Georgia"/>
          <w:color w:val="000000"/>
        </w:rPr>
        <w:br/>
        <w:t>Tesamorelin vs Ipamorelin Half-Life and Stability</w:t>
      </w:r>
      <w:r>
        <w:rPr>
          <w:rFonts w:eastAsia="Georgia" w:hAnsi="Georgia" w:cs="Georgia"/>
          <w:color w:val="000000"/>
        </w:rPr>
        <w:br/>
        <w:t>The half-life and molecular stability of peptide compounds play a key role in determining how they behave in controlled research environments. Tesamorelin and Ipamorelin differ in both structural design and degradation patterns, which can influence their observed signaling profiles.</w:t>
      </w:r>
    </w:p>
    <w:p w14:paraId="735534BC" w14:textId="77777777" w:rsidR="00812618" w:rsidRDefault="00000000">
      <w:pPr>
        <w:numPr>
          <w:ilvl w:val="0"/>
          <w:numId w:val="1"/>
        </w:numPr>
        <w:spacing w:before="105" w:after="105" w:line="360" w:lineRule="auto"/>
      </w:pPr>
      <w:r>
        <w:rPr>
          <w:rFonts w:eastAsia="Georgia" w:hAnsi="Georgia" w:cs="Georgia"/>
          <w:color w:val="000000"/>
        </w:rPr>
        <w:t>Tesamorelin Half-Life and Stability</w:t>
      </w:r>
      <w:r>
        <w:rPr>
          <w:rFonts w:eastAsia="Georgia" w:hAnsi="Georgia" w:cs="Georgia"/>
          <w:color w:val="000000"/>
        </w:rPr>
        <w:br/>
        <w:t>Tesamorelin is a modified analog of growth hormone-releasing hormone (GHRH) designed to improve stability compared to native GHRH. Structural modifications help reduce rapid enzymatic breakdown, allowing for a longer duration of activity in experimental settings.</w:t>
      </w:r>
      <w:r>
        <w:rPr>
          <w:rFonts w:eastAsia="Georgia" w:hAnsi="Georgia" w:cs="Georgia"/>
          <w:color w:val="000000"/>
        </w:rPr>
        <w:br/>
        <w:t>In clinical pharmacokinetic studies, Tesamorelin has been reported to exhibit a half-life of approximately 20–30 minutes, which is longer than endogenous GHRH. This extended stability supports more sustained activation of GHRH receptors and downstream growth hormone signaling in controlled models.</w:t>
      </w:r>
    </w:p>
    <w:p w14:paraId="26D510E0" w14:textId="77777777" w:rsidR="00812618" w:rsidRDefault="00000000">
      <w:pPr>
        <w:numPr>
          <w:ilvl w:val="0"/>
          <w:numId w:val="1"/>
        </w:numPr>
        <w:spacing w:before="105" w:after="105" w:line="360" w:lineRule="auto"/>
      </w:pPr>
      <w:r>
        <w:rPr>
          <w:rFonts w:eastAsia="Georgia" w:hAnsi="Georgia" w:cs="Georgia"/>
          <w:color w:val="000000"/>
        </w:rPr>
        <w:t>Ipamorelin Half-Life and Stability</w:t>
      </w:r>
      <w:r>
        <w:rPr>
          <w:rFonts w:eastAsia="Georgia" w:hAnsi="Georgia" w:cs="Georgia"/>
          <w:color w:val="000000"/>
        </w:rPr>
        <w:br/>
        <w:t xml:space="preserve">Ipamorelin is a selective growth hormone secretagogue that interacts with the ghrelin (GHS-R1a) receptor. It is a smaller peptide and is generally subject to relatively rapid metabolic </w:t>
      </w:r>
      <w:r>
        <w:rPr>
          <w:rFonts w:eastAsia="Georgia" w:hAnsi="Georgia" w:cs="Georgia"/>
          <w:color w:val="000000"/>
        </w:rPr>
        <w:lastRenderedPageBreak/>
        <w:t>clearance.</w:t>
      </w:r>
      <w:r>
        <w:rPr>
          <w:rFonts w:eastAsia="Georgia" w:hAnsi="Georgia" w:cs="Georgia"/>
          <w:color w:val="000000"/>
        </w:rPr>
        <w:br/>
        <w:t>Preclinical and early-stage pharmacokinetic data suggest that Ipamorelin has a shorter half-life, typically in the range of 1–2 hours, although this can vary depending on the experimental model and administration conditions.</w:t>
      </w:r>
      <w:r>
        <w:rPr>
          <w:rFonts w:eastAsia="Georgia" w:hAnsi="Georgia" w:cs="Georgia"/>
          <w:color w:val="000000"/>
        </w:rPr>
        <w:br/>
        <w:t>Despite its shorter systemic presence, Ipamorelin is often studied for its ability to produce discrete, pulsatile signaling patterns, rather than prolonged receptor activation.</w:t>
      </w:r>
      <w:r>
        <w:rPr>
          <w:rFonts w:eastAsia="Georgia" w:hAnsi="Georgia" w:cs="Georgia"/>
          <w:color w:val="000000"/>
        </w:rPr>
        <w:br/>
        <w:t>Which Peptide Produces Higher IGF-1 Levels in Research?</w:t>
      </w:r>
      <w:r>
        <w:rPr>
          <w:rFonts w:eastAsia="Georgia" w:hAnsi="Georgia" w:cs="Georgia"/>
          <w:color w:val="000000"/>
        </w:rPr>
        <w:br/>
        <w:t>In growth hormone (GH) research, insulin-like growth factor 1 (IGF-1) is commonly used as a downstream biomarker to evaluate the activity of GH-stimulating compounds. Tesamorelin and Ipamorelin differ in how consistently and to what extent they influence IGF-1 levels in controlled study settings.</w:t>
      </w:r>
    </w:p>
    <w:p w14:paraId="56F52F86" w14:textId="77777777" w:rsidR="00812618" w:rsidRDefault="00000000">
      <w:pPr>
        <w:numPr>
          <w:ilvl w:val="0"/>
          <w:numId w:val="1"/>
        </w:numPr>
        <w:spacing w:before="105" w:after="105" w:line="360" w:lineRule="auto"/>
      </w:pPr>
      <w:r>
        <w:rPr>
          <w:rFonts w:eastAsia="Georgia" w:hAnsi="Georgia" w:cs="Georgia"/>
          <w:color w:val="000000"/>
        </w:rPr>
        <w:t>Tesamorelin and IGF-1 Response</w:t>
      </w:r>
      <w:r>
        <w:rPr>
          <w:rFonts w:eastAsia="Georgia" w:hAnsi="Georgia" w:cs="Georgia"/>
          <w:color w:val="000000"/>
        </w:rPr>
        <w:br/>
        <w:t>Tesamorelin acts as a GHRH analog, directly stimulating receptors in the pituitary that regulate GH release. In controlled clinical and translational studies, this mechanism has been associated with more consistent increases in circulating IGF-1 biomarkers.</w:t>
      </w:r>
      <w:r>
        <w:rPr>
          <w:rFonts w:eastAsia="Georgia" w:hAnsi="Georgia" w:cs="Georgia"/>
          <w:color w:val="000000"/>
        </w:rPr>
        <w:br/>
        <w:t>Because Tesamorelin promotes a more sustained GH signaling pattern, downstream IGF-1 expression tends to show measurable and stable elevation over time in specific research populations. This is one reason it is often used as a reference compound in GH–IGF-1 axis studies.</w:t>
      </w:r>
    </w:p>
    <w:p w14:paraId="172D12D4" w14:textId="77777777" w:rsidR="00812618" w:rsidRDefault="00000000">
      <w:pPr>
        <w:numPr>
          <w:ilvl w:val="0"/>
          <w:numId w:val="1"/>
        </w:numPr>
        <w:spacing w:before="105" w:after="105" w:line="360" w:lineRule="auto"/>
      </w:pPr>
      <w:r>
        <w:rPr>
          <w:rFonts w:eastAsia="Georgia" w:hAnsi="Georgia" w:cs="Georgia"/>
          <w:color w:val="000000"/>
        </w:rPr>
        <w:t>Ipamorelin and IGF-1 Response</w:t>
      </w:r>
      <w:r>
        <w:rPr>
          <w:rFonts w:eastAsia="Georgia" w:hAnsi="Georgia" w:cs="Georgia"/>
          <w:color w:val="000000"/>
        </w:rPr>
        <w:br/>
        <w:t>Ipamorelin functions as a ghrelin receptor (GHS-R1a) agonist and is primarily studied for its ability to stimulate pulsatile GH release. While this can lead to increases in IGF-1, the effect is generally described in the literature as more variable and dependent on experimental conditions.</w:t>
      </w:r>
      <w:r>
        <w:rPr>
          <w:rFonts w:eastAsia="Georgia" w:hAnsi="Georgia" w:cs="Georgia"/>
          <w:color w:val="000000"/>
        </w:rPr>
        <w:br/>
        <w:t>Compared to GHRH analogs, the intermittent signaling pattern associated with Ipamorelin may result in less pronounced or less sustained IGF-1 changes in certain models.</w:t>
      </w:r>
      <w:r>
        <w:rPr>
          <w:rFonts w:eastAsia="Georgia" w:hAnsi="Georgia" w:cs="Georgia"/>
          <w:color w:val="000000"/>
        </w:rPr>
        <w:br/>
        <w:t>Key Research Insight</w:t>
      </w:r>
      <w:r>
        <w:rPr>
          <w:rFonts w:eastAsia="Georgia" w:hAnsi="Georgia" w:cs="Georgia"/>
          <w:color w:val="000000"/>
        </w:rPr>
        <w:br/>
        <w:t>Tesamorelin:</w:t>
      </w:r>
      <w:r>
        <w:rPr>
          <w:rFonts w:eastAsia="Georgia" w:hAnsi="Georgia" w:cs="Georgia"/>
          <w:color w:val="000000"/>
        </w:rPr>
        <w:br/>
        <w:t>Associated with more consistent and sustained IGF-1 elevation in controlled studies</w:t>
      </w:r>
      <w:r>
        <w:rPr>
          <w:rFonts w:eastAsia="Georgia" w:hAnsi="Georgia" w:cs="Georgia"/>
          <w:color w:val="000000"/>
        </w:rPr>
        <w:br/>
        <w:t>Supported by both clinical and preclinical data</w:t>
      </w:r>
      <w:r>
        <w:rPr>
          <w:rFonts w:eastAsia="Georgia" w:hAnsi="Georgia" w:cs="Georgia"/>
          <w:color w:val="000000"/>
        </w:rPr>
        <w:br/>
        <w:t>Ipamorelin:</w:t>
      </w:r>
      <w:r>
        <w:rPr>
          <w:rFonts w:eastAsia="Georgia" w:hAnsi="Georgia" w:cs="Georgia"/>
          <w:color w:val="000000"/>
        </w:rPr>
        <w:br/>
        <w:t>Can influence IGF-1 indirectly via GH pulses</w:t>
      </w:r>
      <w:r>
        <w:rPr>
          <w:rFonts w:eastAsia="Georgia" w:hAnsi="Georgia" w:cs="Georgia"/>
          <w:color w:val="000000"/>
        </w:rPr>
        <w:br/>
        <w:t>Effects may be less stable and more model-dependent</w:t>
      </w:r>
      <w:r>
        <w:rPr>
          <w:rFonts w:eastAsia="Georgia" w:hAnsi="Georgia" w:cs="Georgia"/>
          <w:color w:val="000000"/>
        </w:rPr>
        <w:br/>
        <w:t>Research Applications of Tesamorelin and Ipamorelin</w:t>
      </w:r>
    </w:p>
    <w:p w14:paraId="37381F1D" w14:textId="77777777" w:rsidR="00812618" w:rsidRDefault="00000000">
      <w:pPr>
        <w:numPr>
          <w:ilvl w:val="0"/>
          <w:numId w:val="1"/>
        </w:numPr>
        <w:spacing w:before="105" w:after="105" w:line="360" w:lineRule="auto"/>
      </w:pPr>
      <w:r>
        <w:rPr>
          <w:rFonts w:eastAsia="Georgia" w:hAnsi="Georgia" w:cs="Georgia"/>
          <w:color w:val="000000"/>
        </w:rPr>
        <w:t>Tesamorelin</w:t>
      </w:r>
      <w:r>
        <w:rPr>
          <w:rFonts w:eastAsia="Georgia" w:hAnsi="Georgia" w:cs="Georgia"/>
          <w:color w:val="000000"/>
        </w:rPr>
        <w:br/>
        <w:t>GH axis signaling research.</w:t>
      </w:r>
      <w:r>
        <w:rPr>
          <w:rFonts w:eastAsia="Georgia" w:hAnsi="Georgia" w:cs="Georgia"/>
          <w:color w:val="000000"/>
        </w:rPr>
        <w:br/>
      </w:r>
      <w:r>
        <w:rPr>
          <w:rFonts w:eastAsia="Georgia" w:hAnsi="Georgia" w:cs="Georgia"/>
          <w:color w:val="000000"/>
        </w:rPr>
        <w:lastRenderedPageBreak/>
        <w:t>The study of adipose tissue and lipid metabolism.</w:t>
      </w:r>
      <w:r>
        <w:rPr>
          <w:rFonts w:eastAsia="Georgia" w:hAnsi="Georgia" w:cs="Georgia"/>
          <w:color w:val="000000"/>
        </w:rPr>
        <w:br/>
        <w:t>Endocrine pathway modeling</w:t>
      </w:r>
    </w:p>
    <w:p w14:paraId="7F0E7C0A" w14:textId="77777777" w:rsidR="00812618" w:rsidRDefault="00000000">
      <w:pPr>
        <w:numPr>
          <w:ilvl w:val="0"/>
          <w:numId w:val="1"/>
        </w:numPr>
        <w:spacing w:before="105" w:after="105" w:line="360" w:lineRule="auto"/>
      </w:pPr>
      <w:r>
        <w:rPr>
          <w:rFonts w:eastAsia="Georgia" w:hAnsi="Georgia" w:cs="Georgia"/>
          <w:color w:val="000000"/>
        </w:rPr>
        <w:t>Ipamorelin</w:t>
      </w:r>
      <w:r>
        <w:rPr>
          <w:rFonts w:eastAsia="Georgia" w:hAnsi="Georgia" w:cs="Georgia"/>
          <w:color w:val="000000"/>
        </w:rPr>
        <w:br/>
        <w:t>The study of GH pulse dynamics.</w:t>
      </w:r>
      <w:r>
        <w:rPr>
          <w:rFonts w:eastAsia="Georgia" w:hAnsi="Georgia" w:cs="Georgia"/>
          <w:color w:val="000000"/>
        </w:rPr>
        <w:br/>
        <w:t>Ghrelin receptor studies</w:t>
      </w:r>
      <w:r>
        <w:rPr>
          <w:rFonts w:eastAsia="Georgia" w:hAnsi="Georgia" w:cs="Georgia"/>
          <w:color w:val="000000"/>
        </w:rPr>
        <w:br/>
        <w:t>Combination peptide experiments</w:t>
      </w:r>
      <w:r>
        <w:rPr>
          <w:rFonts w:eastAsia="Georgia" w:hAnsi="Georgia" w:cs="Georgia"/>
          <w:color w:val="000000"/>
        </w:rPr>
        <w:br/>
        <w:t>Which of the two, tesamorelin and ipamoreline, is better in terms of research on growth hormones?</w:t>
      </w:r>
      <w:r>
        <w:rPr>
          <w:rFonts w:eastAsia="Georgia" w:hAnsi="Georgia" w:cs="Georgia"/>
          <w:color w:val="000000"/>
        </w:rPr>
        <w:br/>
        <w:t>It is determined by the purpose of the research and the design.</w:t>
      </w:r>
      <w:r>
        <w:rPr>
          <w:rFonts w:eastAsia="Georgia" w:hAnsi="Georgia" w:cs="Georgia"/>
          <w:color w:val="000000"/>
        </w:rPr>
        <w:br/>
        <w:t>Tesamorelin is often selected in studies that require:</w:t>
      </w:r>
      <w:r>
        <w:rPr>
          <w:rFonts w:eastAsia="Georgia" w:hAnsi="Georgia" w:cs="Georgia"/>
          <w:color w:val="000000"/>
        </w:rPr>
        <w:br/>
        <w:t>Investigations that need long-term GH cues.</w:t>
      </w:r>
      <w:r>
        <w:rPr>
          <w:rFonts w:eastAsia="Georgia" w:hAnsi="Georgia" w:cs="Georgia"/>
          <w:color w:val="000000"/>
        </w:rPr>
        <w:br/>
        <w:t>IGF-1 pathway analysis</w:t>
      </w:r>
      <w:r>
        <w:rPr>
          <w:rFonts w:eastAsia="Georgia" w:hAnsi="Georgia" w:cs="Georgia"/>
          <w:color w:val="000000"/>
        </w:rPr>
        <w:br/>
        <w:t>Research on metabolic and adipose tissue.</w:t>
      </w:r>
      <w:r>
        <w:rPr>
          <w:rFonts w:eastAsia="Georgia" w:hAnsi="Georgia" w:cs="Georgia"/>
          <w:color w:val="000000"/>
        </w:rPr>
        <w:br/>
        <w:t>Ipamorelin is commonly used in studies focused on:</w:t>
      </w:r>
      <w:r>
        <w:rPr>
          <w:rFonts w:eastAsia="Georgia" w:hAnsi="Georgia" w:cs="Georgia"/>
          <w:color w:val="000000"/>
        </w:rPr>
        <w:br/>
        <w:t>GH pulsatility modeling</w:t>
      </w:r>
      <w:r>
        <w:rPr>
          <w:rFonts w:eastAsia="Georgia" w:hAnsi="Georgia" w:cs="Georgia"/>
          <w:color w:val="000000"/>
        </w:rPr>
        <w:br/>
        <w:t>Receptor selectivity studies</w:t>
      </w:r>
      <w:r>
        <w:rPr>
          <w:rFonts w:eastAsia="Georgia" w:hAnsi="Georgia" w:cs="Georgia"/>
          <w:color w:val="000000"/>
        </w:rPr>
        <w:br/>
        <w:t>Controlled pathway-specific experiments</w:t>
      </w:r>
      <w:r>
        <w:rPr>
          <w:rFonts w:eastAsia="Georgia" w:hAnsi="Georgia" w:cs="Georgia"/>
          <w:color w:val="000000"/>
        </w:rPr>
        <w:br/>
        <w:t>Key Takeaways</w:t>
      </w:r>
      <w:r>
        <w:rPr>
          <w:rFonts w:eastAsia="Georgia" w:hAnsi="Georgia" w:cs="Georgia"/>
          <w:color w:val="000000"/>
        </w:rPr>
        <w:br/>
        <w:t>Tesamorelin promotes stable GH pathway stimulation in research models.</w:t>
      </w:r>
      <w:r>
        <w:rPr>
          <w:rFonts w:eastAsia="Georgia" w:hAnsi="Georgia" w:cs="Georgia"/>
          <w:color w:val="000000"/>
        </w:rPr>
        <w:br/>
        <w:t>Pulsatile GH signaling analysis is possible with ipamorelin.</w:t>
      </w:r>
      <w:r>
        <w:rPr>
          <w:rFonts w:eastAsia="Georgia" w:hAnsi="Georgia" w:cs="Georgia"/>
          <w:color w:val="000000"/>
        </w:rPr>
        <w:br/>
        <w:t>Tesamorelin is more clinically research-supported.</w:t>
      </w:r>
      <w:r>
        <w:rPr>
          <w:rFonts w:eastAsia="Georgia" w:hAnsi="Georgia" w:cs="Georgia"/>
          <w:color w:val="000000"/>
        </w:rPr>
        <w:br/>
        <w:t>Ipamorelin is still a mainly preclinical research drug.</w:t>
      </w:r>
      <w:r>
        <w:rPr>
          <w:rFonts w:eastAsia="Georgia" w:hAnsi="Georgia" w:cs="Georgia"/>
          <w:color w:val="000000"/>
        </w:rPr>
        <w:br/>
        <w:t>Frequently Asked Questions</w:t>
      </w:r>
      <w:r>
        <w:rPr>
          <w:rFonts w:eastAsia="Georgia" w:hAnsi="Georgia" w:cs="Georgia"/>
          <w:color w:val="000000"/>
        </w:rPr>
        <w:br/>
        <w:t>Does Ipamorelin increase IGF-1?</w:t>
      </w:r>
      <w:r>
        <w:rPr>
          <w:rFonts w:eastAsia="Georgia" w:hAnsi="Georgia" w:cs="Georgia"/>
          <w:color w:val="000000"/>
        </w:rPr>
        <w:br/>
        <w:t>Ipamorelin may influence IGF-1 levels indirectly by stimulating pulsatile growth hormone (GH) release through ghrelin receptor (GHS-R1a) activation. However, increases in IGF-1 observed in research are typically variable and dependent on experimental conditions, rather than consistently sustained.</w:t>
      </w:r>
      <w:r>
        <w:rPr>
          <w:rFonts w:eastAsia="Georgia" w:hAnsi="Georgia" w:cs="Georgia"/>
          <w:color w:val="000000"/>
        </w:rPr>
        <w:br/>
        <w:t>Is Tesamorelin stronger than Ipamorelin?</w:t>
      </w:r>
      <w:r>
        <w:rPr>
          <w:rFonts w:eastAsia="Georgia" w:hAnsi="Georgia" w:cs="Georgia"/>
          <w:color w:val="000000"/>
        </w:rPr>
        <w:br/>
        <w:t>The term “stronger” depends on the research objective. Tesamorelin is often associated with more sustained GH and IGF-1 signaling, while Ipamorelin is studied for pulsatile GH release and receptor selectivity. Each compound serves a different role in controlled research models rather than being directly comparable in strength.</w:t>
      </w:r>
      <w:r>
        <w:rPr>
          <w:rFonts w:eastAsia="Georgia" w:hAnsi="Georgia" w:cs="Georgia"/>
          <w:color w:val="000000"/>
        </w:rPr>
        <w:br/>
        <w:t>Can Tesamorelin and Ipamorelin be used together in research?</w:t>
      </w:r>
      <w:r>
        <w:rPr>
          <w:rFonts w:eastAsia="Georgia" w:hAnsi="Georgia" w:cs="Georgia"/>
          <w:color w:val="000000"/>
        </w:rPr>
        <w:br/>
        <w:t xml:space="preserve">In some experimental settings, Tesamorelin (a GHRH analog) and Ipamorelin (a ghrelin receptor agonist) may be studied together to examine combined pathway activation of the GH </w:t>
      </w:r>
      <w:r>
        <w:rPr>
          <w:rFonts w:eastAsia="Georgia" w:hAnsi="Georgia" w:cs="Georgia"/>
          <w:color w:val="000000"/>
        </w:rPr>
        <w:lastRenderedPageBreak/>
        <w:t>axis. Such approaches are typically used to explore synergistic signaling mechanisms under controlled laboratory conditions.</w:t>
      </w:r>
      <w:r>
        <w:rPr>
          <w:rFonts w:eastAsia="Georgia" w:hAnsi="Georgia" w:cs="Georgia"/>
          <w:color w:val="000000"/>
        </w:rPr>
        <w:br/>
        <w:t>Which one has more clinical data?</w:t>
      </w:r>
      <w:r>
        <w:rPr>
          <w:rFonts w:eastAsia="Georgia" w:hAnsi="Georgia" w:cs="Georgia"/>
          <w:color w:val="000000"/>
        </w:rPr>
        <w:br/>
        <w:t>Tesamorelin has a significantly larger body of clinical research data, including studies in specific medical populations and regulatory approval for defined indications. In contrast, Ipamorelin is primarily supported by preclinical and early-stage research, with limited clinical data available.</w:t>
      </w:r>
      <w:r>
        <w:rPr>
          <w:rFonts w:eastAsia="Georgia" w:hAnsi="Georgia" w:cs="Georgia"/>
          <w:color w:val="000000"/>
        </w:rPr>
        <w:br/>
        <w:t>Final Thoughts</w:t>
      </w:r>
      <w:r>
        <w:rPr>
          <w:rFonts w:eastAsia="Georgia" w:hAnsi="Georgia" w:cs="Georgia"/>
          <w:color w:val="000000"/>
        </w:rPr>
        <w:br/>
        <w:t>Tesamorelin presents a better consistency of GH and IGF-1 pathway activation, which is supported by clinical and preclinical data. Ipamorelin can be used in the investigation of receptor-specific signaling and pulsatile dynamics of hormones.</w:t>
      </w:r>
      <w:r>
        <w:rPr>
          <w:rFonts w:eastAsia="Georgia" w:hAnsi="Georgia" w:cs="Georgia"/>
          <w:color w:val="000000"/>
        </w:rPr>
        <w:br/>
        <w:t>Research-wise, Tesamorelin is frequently the choice on metabolic and endocrine pathway research, whereas Ipamorelin is employed in mechanistic and receptor-level studies.</w:t>
      </w:r>
      <w:r>
        <w:rPr>
          <w:rFonts w:eastAsia="Georgia" w:hAnsi="Georgia" w:cs="Georgia"/>
          <w:color w:val="000000"/>
        </w:rPr>
        <w:br/>
        <w:t>The two compounds are yet to be useful in the development of growth hormone and peptide research.</w:t>
      </w:r>
      <w:r>
        <w:rPr>
          <w:rFonts w:eastAsia="Georgia" w:hAnsi="Georgia" w:cs="Georgia"/>
          <w:color w:val="000000"/>
        </w:rPr>
        <w:br/>
        <w:t>Research Use Disclaimer</w:t>
      </w:r>
      <w:r>
        <w:rPr>
          <w:rFonts w:eastAsia="Georgia" w:hAnsi="Georgia" w:cs="Georgia"/>
          <w:color w:val="000000"/>
        </w:rPr>
        <w:br/>
        <w:t>The Tesamorelin and Ipamorelin mentioned in the article are only to be used in scientific and laboratory research.</w:t>
      </w:r>
      <w:r>
        <w:rPr>
          <w:rFonts w:eastAsia="Georgia" w:hAnsi="Georgia" w:cs="Georgia"/>
          <w:color w:val="000000"/>
        </w:rPr>
        <w:br/>
        <w:t>Not authorized for general human use (Ipamorelin)</w:t>
      </w:r>
      <w:r>
        <w:rPr>
          <w:rFonts w:eastAsia="Georgia" w:hAnsi="Georgia" w:cs="Georgia"/>
          <w:color w:val="000000"/>
        </w:rPr>
        <w:br/>
        <w:t>Not to be used in diagnosis, treatment, or as a therapeutic agent.</w:t>
      </w:r>
      <w:r>
        <w:rPr>
          <w:rFonts w:eastAsia="Georgia" w:hAnsi="Georgia" w:cs="Georgia"/>
          <w:color w:val="000000"/>
        </w:rPr>
        <w:br/>
        <w:t>All the results are based on controlled experimental and clinical research settings.</w:t>
      </w:r>
    </w:p>
    <w:p w14:paraId="69B98A09" w14:textId="77777777" w:rsidR="00812618" w:rsidRDefault="00000000">
      <w:pPr>
        <w:spacing w:after="210" w:line="360" w:lineRule="auto"/>
      </w:pPr>
      <w:r>
        <w:rPr>
          <w:rFonts w:eastAsia="Georgia" w:hAnsi="Georgia" w:cs="Georgia"/>
          <w:color w:val="000000"/>
        </w:rPr>
        <w:t>Medical Disclaimer:</w:t>
      </w:r>
      <w:r>
        <w:rPr>
          <w:rFonts w:eastAsia="Georgia" w:hAnsi="Georgia" w:cs="Georgia"/>
          <w:color w:val="000000"/>
        </w:rPr>
        <w:br/>
        <w:t>This content is intended for informational purposes only and is based on available research and scientific literature. It is not intended to diagnose, treat, cure, or prevent any condition, nor should it be interpreted as medical advice. Professional medical consultation is recommended for any health-related decisions.</w:t>
      </w:r>
      <w:r>
        <w:rPr>
          <w:rFonts w:eastAsia="Georgia" w:hAnsi="Georgia" w:cs="Georgia"/>
          <w:color w:val="000000"/>
        </w:rPr>
        <w:br/>
        <w:t>References</w:t>
      </w:r>
      <w:r>
        <w:rPr>
          <w:rFonts w:eastAsia="Georgia" w:hAnsi="Georgia" w:cs="Georgia"/>
          <w:color w:val="000000"/>
        </w:rPr>
        <w:br/>
        <w:t>1. </w:t>
      </w:r>
      <w:hyperlink r:id="rId26">
        <w:r>
          <w:rPr>
            <w:rFonts w:ascii="Helvetica Neue" w:eastAsia="Helvetica Neue" w:hAnsi="Helvetica Neue" w:cs="Helvetica Neue"/>
            <w:u w:val="single"/>
          </w:rPr>
          <w:t>https://pubmed.ncbi.nlm.nih.gov/20876877/</w:t>
        </w:r>
      </w:hyperlink>
      <w:r>
        <w:rPr>
          <w:rFonts w:eastAsia="Georgia" w:hAnsi="Georgia" w:cs="Georgia"/>
          <w:color w:val="000000"/>
        </w:rPr>
        <w:br/>
        <w:t>2. </w:t>
      </w:r>
      <w:hyperlink r:id="rId27">
        <w:r>
          <w:rPr>
            <w:rFonts w:ascii="Helvetica Neue" w:eastAsia="Helvetica Neue" w:hAnsi="Helvetica Neue" w:cs="Helvetica Neue"/>
            <w:u w:val="single"/>
          </w:rPr>
          <w:t>https://pubmed.ncbi.nlm.nih.gov/24685909/</w:t>
        </w:r>
      </w:hyperlink>
      <w:r>
        <w:rPr>
          <w:rFonts w:eastAsia="Georgia" w:hAnsi="Georgia" w:cs="Georgia"/>
          <w:color w:val="000000"/>
        </w:rPr>
        <w:br/>
        <w:t>3.</w:t>
      </w:r>
      <w:hyperlink r:id="rId28">
        <w:r>
          <w:rPr>
            <w:rFonts w:ascii="Helvetica Neue" w:eastAsia="Helvetica Neue" w:hAnsi="Helvetica Neue" w:cs="Helvetica Neue"/>
            <w:u w:val="single"/>
          </w:rPr>
          <w:t>https://pubmed.ncbi.nlm.nih.gov/10468583/</w:t>
        </w:r>
      </w:hyperlink>
      <w:r>
        <w:rPr>
          <w:rFonts w:eastAsia="Georgia" w:hAnsi="Georgia" w:cs="Georgia"/>
          <w:color w:val="000000"/>
        </w:rPr>
        <w:br/>
        <w:t>4. [</w:t>
      </w:r>
      <w:hyperlink r:id="rId29">
        <w:r>
          <w:rPr>
            <w:rFonts w:ascii="Helvetica Neue" w:eastAsia="Helvetica Neue" w:hAnsi="Helvetica Neue" w:cs="Helvetica Neue"/>
            <w:u w:val="single"/>
          </w:rPr>
          <w:t>https://pubmed.ncbi.nlm.nih.gov/12107201/</w:t>
        </w:r>
      </w:hyperlink>
      <w:r>
        <w:rPr>
          <w:rFonts w:eastAsia="Georgia" w:hAnsi="Georgia" w:cs="Georgia"/>
          <w:color w:val="000000"/>
        </w:rPr>
        <w:t>](</w:t>
      </w:r>
      <w:hyperlink r:id="rId30">
        <w:r>
          <w:rPr>
            <w:rFonts w:ascii="Helvetica Neue" w:eastAsia="Helvetica Neue" w:hAnsi="Helvetica Neue" w:cs="Helvetica Neue"/>
            <w:u w:val="single"/>
          </w:rPr>
          <w:t>https://pubmed.ncbi.nlm.nih.gov/12107201/</w:t>
        </w:r>
      </w:hyperlink>
      <w:r>
        <w:rPr>
          <w:rFonts w:eastAsia="Georgia" w:hAnsi="Georgia" w:cs="Georgia"/>
          <w:color w:val="000000"/>
        </w:rPr>
        <w:t>](</w:t>
      </w:r>
      <w:hyperlink r:id="rId31">
        <w:r>
          <w:rPr>
            <w:rFonts w:ascii="Helvetica Neue" w:eastAsia="Helvetica Neue" w:hAnsi="Helvetica Neue" w:cs="Helvetica Neue"/>
            <w:u w:val="single"/>
          </w:rPr>
          <w:t>https://pubmed.ncbi.nlm.nih.gov/12107201/</w:t>
        </w:r>
      </w:hyperlink>
      <w:r>
        <w:rPr>
          <w:rFonts w:eastAsia="Georgia" w:hAnsi="Georgia" w:cs="Georgia"/>
          <w:color w:val="000000"/>
        </w:rPr>
        <w:t>)</w:t>
      </w:r>
      <w:r>
        <w:rPr>
          <w:rFonts w:eastAsia="Georgia" w:hAnsi="Georgia" w:cs="Georgia"/>
          <w:color w:val="000000"/>
        </w:rPr>
        <w:br/>
        <w:t>5.</w:t>
      </w:r>
      <w:hyperlink r:id="rId32">
        <w:r>
          <w:rPr>
            <w:rFonts w:ascii="Helvetica Neue" w:eastAsia="Helvetica Neue" w:hAnsi="Helvetica Neue" w:cs="Helvetica Neue"/>
            <w:u w:val="single"/>
          </w:rPr>
          <w:t>https://pubmed.ncbi.nlm.nih.gov/12006162/</w:t>
        </w:r>
      </w:hyperlink>
    </w:p>
    <w:p w14:paraId="0DF16599" w14:textId="77777777" w:rsidR="00812618" w:rsidRDefault="00000000">
      <w:pPr>
        <w:spacing w:after="210" w:line="360" w:lineRule="auto"/>
      </w:pPr>
      <w:r>
        <w:rPr>
          <w:rFonts w:eastAsia="Georgia" w:hAnsi="Georgia" w:cs="Georgia"/>
          <w:color w:val="000000"/>
        </w:rPr>
        <w:t xml:space="preserve">Here’s a cleaned-up, blog-ready version of your Tesamorelin vs. Ipamorelin article with the language made more precise and the research framing tightened. Tesamorelin is a GHRH analog with stronger </w:t>
      </w:r>
      <w:r>
        <w:rPr>
          <w:rFonts w:eastAsia="Georgia" w:hAnsi="Georgia" w:cs="Georgia"/>
          <w:color w:val="000000"/>
        </w:rPr>
        <w:lastRenderedPageBreak/>
        <w:t>clinical and translational evidence, while Ipamorelin is a selective ghrelin receptor agonist best known for studying pulsatile GH release and receptor selectivity.</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0D34865" w14:textId="77777777" w:rsidR="00812618" w:rsidRDefault="00000000">
      <w:pPr>
        <w:spacing w:before="315" w:after="105" w:line="360" w:lineRule="auto"/>
        <w:ind w:left="-30"/>
      </w:pPr>
      <w:bookmarkStart w:id="4" w:name="tesamorelin_vs_ipamorelin"/>
      <w:r>
        <w:rPr>
          <w:rFonts w:eastAsia="Georgia" w:hAnsi="Georgia" w:cs="Georgia"/>
          <w:b/>
          <w:color w:val="000000"/>
          <w:sz w:val="24"/>
        </w:rPr>
        <w:t>Tesamorelin vs Ipamorelin</w:t>
      </w:r>
      <w:bookmarkEnd w:id="4"/>
    </w:p>
    <w:p w14:paraId="448D0BCE" w14:textId="77777777" w:rsidR="00812618" w:rsidRDefault="00000000">
      <w:pPr>
        <w:spacing w:after="210" w:line="360" w:lineRule="auto"/>
      </w:pPr>
      <w:r>
        <w:rPr>
          <w:rFonts w:eastAsia="Georgia" w:hAnsi="Georgia" w:cs="Georgia"/>
          <w:color w:val="000000"/>
        </w:rPr>
        <w:t>Tesamorelin and Ipamorelin are both studied for growth hormone axis research, but they act through different receptors and produce different signaling patterns. Tesamorelin activates GHRH receptors in the pituitary and is associated with more sustained GH signaling and measurable IGF-1 increases in clinical and translational studies. Ipamorelin activates the ghrelin receptor GHS-R1a and is typically used to study pulsatile GH release with high receptor selectivity.</w:t>
      </w:r>
      <w:bookmarkStart w:id="5" w:name="fnref4"/>
      <w:bookmarkEnd w:id="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6" w:name="fnref1_1"/>
      <w:bookmarkEnd w:id="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7" w:name="fnref2_1"/>
      <w:bookmarkEnd w:id="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8" w:name="fnref5"/>
      <w:bookmarkEnd w:id="8"/>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9" w:name="fnref6"/>
      <w:bookmarkEnd w:id="9"/>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720AB1C1" w14:textId="77777777" w:rsidR="00812618" w:rsidRDefault="00000000">
      <w:pPr>
        <w:spacing w:before="315" w:after="105" w:line="360" w:lineRule="auto"/>
        <w:ind w:left="-30"/>
      </w:pPr>
      <w:bookmarkStart w:id="10" w:name="research_positioning"/>
      <w:r>
        <w:rPr>
          <w:rFonts w:eastAsia="Georgia" w:hAnsi="Georgia" w:cs="Georgia"/>
          <w:b/>
          <w:color w:val="000000"/>
          <w:sz w:val="24"/>
        </w:rPr>
        <w:t>Research positioning</w:t>
      </w:r>
      <w:bookmarkEnd w:id="10"/>
    </w:p>
    <w:p w14:paraId="1F522F34" w14:textId="77777777" w:rsidR="00812618" w:rsidRDefault="00000000">
      <w:pPr>
        <w:spacing w:after="210" w:line="360" w:lineRule="auto"/>
      </w:pPr>
      <w:r>
        <w:rPr>
          <w:rFonts w:eastAsia="Georgia" w:hAnsi="Georgia" w:cs="Georgia"/>
          <w:color w:val="000000"/>
        </w:rPr>
        <w:t>Your draft is strongest when it says Tesamorelin is better for research that needs more consistent GH/IGF-1 axis stimulation, while Ipamorelin is better for studying pulse-like secretion dynamics. Tesamorelin also has the advantage of published clinical data and FDA-approved use for a specific indication, which gives it a stronger translational evidence base. Ipamorelin remains much more limited in human clinical evidence and is mainly discussed in preclinical research.</w:t>
      </w:r>
      <w:bookmarkStart w:id="11" w:name="fnref7"/>
      <w:bookmarkEnd w:id="11"/>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2" w:name="fnref1_2"/>
      <w:bookmarkEnd w:id="1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3" w:name="fnref2_2"/>
      <w:bookmarkEnd w:id="1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4" w:name="fnref3_1"/>
      <w:bookmarkEnd w:id="1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5" w:name="fnref5_1"/>
      <w:bookmarkEnd w:id="15"/>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6" w:name="fnref8"/>
      <w:bookmarkEnd w:id="16"/>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2EE99B8F" w14:textId="77777777" w:rsidR="00812618" w:rsidRDefault="00000000">
      <w:pPr>
        <w:spacing w:before="315" w:after="105" w:line="360" w:lineRule="auto"/>
        <w:ind w:left="-30"/>
      </w:pPr>
      <w:bookmarkStart w:id="17" w:name="half_life_and_stability"/>
      <w:r>
        <w:rPr>
          <w:rFonts w:eastAsia="Georgia" w:hAnsi="Georgia" w:cs="Georgia"/>
          <w:b/>
          <w:color w:val="000000"/>
          <w:sz w:val="24"/>
        </w:rPr>
        <w:t>Half-life and stability</w:t>
      </w:r>
      <w:bookmarkEnd w:id="17"/>
    </w:p>
    <w:p w14:paraId="5301833B" w14:textId="77777777" w:rsidR="00812618" w:rsidRDefault="00000000">
      <w:pPr>
        <w:spacing w:after="210" w:line="360" w:lineRule="auto"/>
      </w:pPr>
      <w:r>
        <w:rPr>
          <w:rFonts w:eastAsia="Georgia" w:hAnsi="Georgia" w:cs="Georgia"/>
          <w:color w:val="000000"/>
        </w:rPr>
        <w:t>The half-life section should be stated carefully. Tesamorelin has improved stability compared with native GHRH and has reported pharmacokinetic activity in the tens of minutes, while Ipamorelin is also relatively short-acting but is mainly discussed for its pulsatile effect profile rather than long duration. If you want to avoid overclaiming, it is safer to say that both peptides are short-acting research tools, but Tesamorelin tends to support more sustained downstream IGF-1 signaling in the literature.</w:t>
      </w:r>
      <w:bookmarkStart w:id="18" w:name="fnref4_1"/>
      <w:bookmarkEnd w:id="18"/>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9" w:name="fnref1_3"/>
      <w:bookmarkEnd w:id="1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0" w:name="fnref2_3"/>
      <w:bookmarkEnd w:id="2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1" w:name="fnref6_1"/>
      <w:bookmarkEnd w:id="21"/>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7C1456CE" w14:textId="77777777" w:rsidR="00812618" w:rsidRDefault="00000000">
      <w:pPr>
        <w:spacing w:before="315" w:after="105" w:line="360" w:lineRule="auto"/>
        <w:ind w:left="-30"/>
      </w:pPr>
      <w:bookmarkStart w:id="22" w:name="safer_wording_edits"/>
      <w:r>
        <w:rPr>
          <w:rFonts w:eastAsia="Georgia" w:hAnsi="Georgia" w:cs="Georgia"/>
          <w:b/>
          <w:color w:val="000000"/>
          <w:sz w:val="24"/>
        </w:rPr>
        <w:t>Safer wording edits</w:t>
      </w:r>
      <w:bookmarkEnd w:id="22"/>
    </w:p>
    <w:p w14:paraId="33531E03" w14:textId="77777777" w:rsidR="00812618" w:rsidRDefault="00000000">
      <w:pPr>
        <w:spacing w:after="210" w:line="360" w:lineRule="auto"/>
      </w:pPr>
      <w:r>
        <w:rPr>
          <w:rFonts w:eastAsia="Georgia" w:hAnsi="Georgia" w:cs="Georgia"/>
          <w:color w:val="000000"/>
        </w:rPr>
        <w:t>A few phrases in your draft should be softened. Replace “Which is more effective” with “Which is more suitable for specific GH research goals,” because “effective” can sound like a therapeutic claim. Also change “better in terms of research on growth hormones” to “better for specific growth hormone research objectives,” since the two compounds are not direct substitutes. Finally, “not authorized for general human use” should be aligned with a clear research-use disclaimer rather than a mixed regulatory statement.</w:t>
      </w:r>
      <w:bookmarkStart w:id="23" w:name="fnref7_1"/>
      <w:bookmarkEnd w:id="23"/>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24" w:name="fnref1_4"/>
      <w:bookmarkEnd w:id="2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5" w:name="fnref2_4"/>
      <w:bookmarkEnd w:id="2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6" w:name="fnref3_2"/>
      <w:bookmarkEnd w:id="2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27" w:name="fnref8_1"/>
      <w:bookmarkEnd w:id="27"/>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16B338A0" w14:textId="77777777" w:rsidR="00812618" w:rsidRDefault="00000000">
      <w:pPr>
        <w:spacing w:before="315" w:after="105" w:line="360" w:lineRule="auto"/>
        <w:ind w:left="-30"/>
      </w:pPr>
      <w:bookmarkStart w:id="28" w:name="better_comparison_table"/>
      <w:r>
        <w:rPr>
          <w:rFonts w:eastAsia="Georgia" w:hAnsi="Georgia" w:cs="Georgia"/>
          <w:b/>
          <w:color w:val="000000"/>
          <w:sz w:val="24"/>
        </w:rPr>
        <w:t>Better comparison table</w:t>
      </w:r>
      <w:bookmarkEnd w:id="2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59"/>
        <w:gridCol w:w="3743"/>
        <w:gridCol w:w="3902"/>
      </w:tblGrid>
      <w:tr w:rsidR="00812618" w14:paraId="5EA174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01C4D" w14:textId="77777777" w:rsidR="00812618" w:rsidRDefault="00000000">
            <w:pPr>
              <w:spacing w:line="360" w:lineRule="auto"/>
            </w:pPr>
            <w:r>
              <w:rPr>
                <w:rFonts w:ascii="Helvetica Neue" w:eastAsia="Helvetica Neue" w:hAnsi="Helvetica Neue" w:cs="Helvetica Neue"/>
                <w:color w:val="000000"/>
                <w:sz w:val="17"/>
              </w:rPr>
              <w:lastRenderedPageBreak/>
              <w:t>Parameter</w:t>
            </w:r>
          </w:p>
        </w:tc>
        <w:tc>
          <w:tcPr>
            <w:tcW w:w="0" w:type="auto"/>
            <w:tcBorders>
              <w:top w:val="single" w:sz="1" w:space="0" w:color="000000"/>
              <w:bottom w:val="single" w:sz="1" w:space="0" w:color="000000"/>
              <w:right w:val="single" w:sz="1" w:space="0" w:color="000000"/>
            </w:tcBorders>
          </w:tcPr>
          <w:p w14:paraId="579AAF6E" w14:textId="77777777" w:rsidR="00812618" w:rsidRDefault="00000000">
            <w:pPr>
              <w:spacing w:line="360" w:lineRule="auto"/>
            </w:pPr>
            <w:r>
              <w:rPr>
                <w:rFonts w:ascii="Helvetica Neue" w:eastAsia="Helvetica Neue" w:hAnsi="Helvetica Neue" w:cs="Helvetica Neue"/>
                <w:color w:val="000000"/>
                <w:sz w:val="17"/>
              </w:rPr>
              <w:t>Tesamorelin</w:t>
            </w:r>
          </w:p>
        </w:tc>
        <w:tc>
          <w:tcPr>
            <w:tcW w:w="0" w:type="auto"/>
            <w:tcBorders>
              <w:top w:val="single" w:sz="1" w:space="0" w:color="000000"/>
              <w:bottom w:val="single" w:sz="1" w:space="0" w:color="000000"/>
            </w:tcBorders>
          </w:tcPr>
          <w:p w14:paraId="6448F9BB" w14:textId="77777777" w:rsidR="00812618" w:rsidRDefault="00000000">
            <w:pPr>
              <w:spacing w:line="360" w:lineRule="auto"/>
            </w:pPr>
            <w:r>
              <w:rPr>
                <w:rFonts w:ascii="Helvetica Neue" w:eastAsia="Helvetica Neue" w:hAnsi="Helvetica Neue" w:cs="Helvetica Neue"/>
                <w:color w:val="000000"/>
                <w:sz w:val="17"/>
              </w:rPr>
              <w:t>Ipamorelin</w:t>
            </w:r>
          </w:p>
        </w:tc>
      </w:tr>
      <w:tr w:rsidR="00812618" w14:paraId="7274D7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0F2A1E" w14:textId="77777777" w:rsidR="00812618" w:rsidRDefault="00000000">
            <w:pPr>
              <w:spacing w:line="360" w:lineRule="auto"/>
            </w:pPr>
            <w:r>
              <w:rPr>
                <w:rFonts w:ascii="Helvetica Neue" w:eastAsia="Helvetica Neue" w:hAnsi="Helvetica Neue" w:cs="Helvetica Neue"/>
                <w:color w:val="000000"/>
                <w:sz w:val="17"/>
              </w:rPr>
              <w:t>Receptor target</w:t>
            </w:r>
          </w:p>
        </w:tc>
        <w:tc>
          <w:tcPr>
            <w:tcW w:w="0" w:type="auto"/>
            <w:tcBorders>
              <w:top w:val="single" w:sz="1" w:space="0" w:color="000000"/>
              <w:bottom w:val="single" w:sz="1" w:space="0" w:color="000000"/>
              <w:right w:val="single" w:sz="1" w:space="0" w:color="000000"/>
            </w:tcBorders>
          </w:tcPr>
          <w:p w14:paraId="27CFBD6E" w14:textId="77777777" w:rsidR="00812618" w:rsidRDefault="00000000">
            <w:pPr>
              <w:spacing w:line="360" w:lineRule="auto"/>
            </w:pPr>
            <w:r>
              <w:rPr>
                <w:rFonts w:ascii="Helvetica Neue" w:eastAsia="Helvetica Neue" w:hAnsi="Helvetica Neue" w:cs="Helvetica Neue"/>
                <w:color w:val="000000"/>
                <w:sz w:val="17"/>
              </w:rPr>
              <w:t xml:space="preserve">GHRH receptor </w:t>
            </w:r>
            <w:hyperlink w:anchor="fn1">
              <w:r>
                <w:rPr>
                  <w:rFonts w:ascii="Helvetica Neue" w:eastAsia="Helvetica Neue" w:hAnsi="Helvetica Neue" w:cs="Helvetica Neue"/>
                  <w:sz w:val="17"/>
                  <w:u w:val="single"/>
                  <w:vertAlign w:val="superscript"/>
                </w:rPr>
                <w:t>[1]</w:t>
              </w:r>
            </w:hyperlink>
            <w:hyperlink w:anchor="fn6">
              <w:r>
                <w:rPr>
                  <w:rFonts w:ascii="Helvetica Neue" w:eastAsia="Helvetica Neue" w:hAnsi="Helvetica Neue" w:cs="Helvetica Neue"/>
                  <w:sz w:val="17"/>
                  <w:u w:val="single"/>
                  <w:vertAlign w:val="superscript"/>
                </w:rPr>
                <w:t>[6]</w:t>
              </w:r>
            </w:hyperlink>
          </w:p>
        </w:tc>
        <w:tc>
          <w:tcPr>
            <w:tcW w:w="0" w:type="auto"/>
            <w:tcBorders>
              <w:top w:val="single" w:sz="1" w:space="0" w:color="000000"/>
              <w:bottom w:val="single" w:sz="1" w:space="0" w:color="000000"/>
            </w:tcBorders>
          </w:tcPr>
          <w:p w14:paraId="67A2FA9A" w14:textId="77777777" w:rsidR="00812618" w:rsidRDefault="00000000">
            <w:pPr>
              <w:spacing w:line="360" w:lineRule="auto"/>
            </w:pPr>
            <w:r>
              <w:rPr>
                <w:rFonts w:ascii="Helvetica Neue" w:eastAsia="Helvetica Neue" w:hAnsi="Helvetica Neue" w:cs="Helvetica Neue"/>
                <w:color w:val="000000"/>
                <w:sz w:val="17"/>
              </w:rPr>
              <w:t xml:space="preserve">Ghrelin receptor GHS-R1a </w:t>
            </w:r>
            <w:hyperlink w:anchor="fn2">
              <w:r>
                <w:rPr>
                  <w:rFonts w:ascii="Helvetica Neue" w:eastAsia="Helvetica Neue" w:hAnsi="Helvetica Neue" w:cs="Helvetica Neue"/>
                  <w:sz w:val="17"/>
                  <w:u w:val="single"/>
                  <w:vertAlign w:val="superscript"/>
                </w:rPr>
                <w:t>[2]</w:t>
              </w:r>
            </w:hyperlink>
          </w:p>
        </w:tc>
      </w:tr>
      <w:tr w:rsidR="00812618" w14:paraId="569E2B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77CAF5" w14:textId="77777777" w:rsidR="00812618" w:rsidRDefault="00000000">
            <w:pPr>
              <w:spacing w:line="360" w:lineRule="auto"/>
            </w:pPr>
            <w:r>
              <w:rPr>
                <w:rFonts w:ascii="Helvetica Neue" w:eastAsia="Helvetica Neue" w:hAnsi="Helvetica Neue" w:cs="Helvetica Neue"/>
                <w:color w:val="000000"/>
                <w:sz w:val="17"/>
              </w:rPr>
              <w:t>GH signaling pattern</w:t>
            </w:r>
          </w:p>
        </w:tc>
        <w:tc>
          <w:tcPr>
            <w:tcW w:w="0" w:type="auto"/>
            <w:tcBorders>
              <w:top w:val="single" w:sz="1" w:space="0" w:color="000000"/>
              <w:bottom w:val="single" w:sz="1" w:space="0" w:color="000000"/>
              <w:right w:val="single" w:sz="1" w:space="0" w:color="000000"/>
            </w:tcBorders>
          </w:tcPr>
          <w:p w14:paraId="19B1D254" w14:textId="77777777" w:rsidR="00812618" w:rsidRDefault="00000000">
            <w:pPr>
              <w:spacing w:line="360" w:lineRule="auto"/>
            </w:pPr>
            <w:r>
              <w:rPr>
                <w:rFonts w:ascii="Helvetica Neue" w:eastAsia="Helvetica Neue" w:hAnsi="Helvetica Neue" w:cs="Helvetica Neue"/>
                <w:color w:val="000000"/>
                <w:sz w:val="17"/>
              </w:rPr>
              <w:t xml:space="preserve">More sustained </w:t>
            </w:r>
            <w:hyperlink w:anchor="fn1">
              <w:r>
                <w:rPr>
                  <w:rFonts w:ascii="Helvetica Neue" w:eastAsia="Helvetica Neue" w:hAnsi="Helvetica Neue" w:cs="Helvetica Neue"/>
                  <w:sz w:val="17"/>
                  <w:u w:val="single"/>
                  <w:vertAlign w:val="superscript"/>
                </w:rPr>
                <w:t>[1]</w:t>
              </w:r>
            </w:hyperlink>
            <w:hyperlink w:anchor="fn4">
              <w:r>
                <w:rPr>
                  <w:rFonts w:ascii="Helvetica Neue" w:eastAsia="Helvetica Neue" w:hAnsi="Helvetica Neue" w:cs="Helvetica Neue"/>
                  <w:sz w:val="17"/>
                  <w:u w:val="single"/>
                  <w:vertAlign w:val="superscript"/>
                </w:rPr>
                <w:t>[4]</w:t>
              </w:r>
            </w:hyperlink>
          </w:p>
        </w:tc>
        <w:tc>
          <w:tcPr>
            <w:tcW w:w="0" w:type="auto"/>
            <w:tcBorders>
              <w:top w:val="single" w:sz="1" w:space="0" w:color="000000"/>
              <w:bottom w:val="single" w:sz="1" w:space="0" w:color="000000"/>
            </w:tcBorders>
          </w:tcPr>
          <w:p w14:paraId="55DE9244" w14:textId="77777777" w:rsidR="00812618" w:rsidRDefault="00000000">
            <w:pPr>
              <w:spacing w:line="360" w:lineRule="auto"/>
            </w:pPr>
            <w:r>
              <w:rPr>
                <w:rFonts w:ascii="Helvetica Neue" w:eastAsia="Helvetica Neue" w:hAnsi="Helvetica Neue" w:cs="Helvetica Neue"/>
                <w:color w:val="000000"/>
                <w:sz w:val="17"/>
              </w:rPr>
              <w:t xml:space="preserve">Pulsatile </w:t>
            </w:r>
            <w:hyperlink w:anchor="fn5">
              <w:r>
                <w:rPr>
                  <w:rFonts w:ascii="Helvetica Neue" w:eastAsia="Helvetica Neue" w:hAnsi="Helvetica Neue" w:cs="Helvetica Neue"/>
                  <w:sz w:val="17"/>
                  <w:u w:val="single"/>
                  <w:vertAlign w:val="superscript"/>
                </w:rPr>
                <w:t>[5]</w:t>
              </w:r>
            </w:hyperlink>
            <w:hyperlink w:anchor="fn2">
              <w:r>
                <w:rPr>
                  <w:rFonts w:ascii="Helvetica Neue" w:eastAsia="Helvetica Neue" w:hAnsi="Helvetica Neue" w:cs="Helvetica Neue"/>
                  <w:sz w:val="17"/>
                  <w:u w:val="single"/>
                  <w:vertAlign w:val="superscript"/>
                </w:rPr>
                <w:t>[2]</w:t>
              </w:r>
            </w:hyperlink>
          </w:p>
        </w:tc>
      </w:tr>
      <w:tr w:rsidR="00812618" w14:paraId="648D7C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07C1D2" w14:textId="77777777" w:rsidR="00812618" w:rsidRDefault="00000000">
            <w:pPr>
              <w:spacing w:line="360" w:lineRule="auto"/>
            </w:pPr>
            <w:r>
              <w:rPr>
                <w:rFonts w:ascii="Helvetica Neue" w:eastAsia="Helvetica Neue" w:hAnsi="Helvetica Neue" w:cs="Helvetica Neue"/>
                <w:color w:val="000000"/>
                <w:sz w:val="17"/>
              </w:rPr>
              <w:t>IGF-1 response</w:t>
            </w:r>
          </w:p>
        </w:tc>
        <w:tc>
          <w:tcPr>
            <w:tcW w:w="0" w:type="auto"/>
            <w:tcBorders>
              <w:top w:val="single" w:sz="1" w:space="0" w:color="000000"/>
              <w:bottom w:val="single" w:sz="1" w:space="0" w:color="000000"/>
              <w:right w:val="single" w:sz="1" w:space="0" w:color="000000"/>
            </w:tcBorders>
          </w:tcPr>
          <w:p w14:paraId="7DA35AE5" w14:textId="77777777" w:rsidR="00812618" w:rsidRDefault="00000000">
            <w:pPr>
              <w:spacing w:line="360" w:lineRule="auto"/>
            </w:pPr>
            <w:r>
              <w:rPr>
                <w:rFonts w:ascii="Helvetica Neue" w:eastAsia="Helvetica Neue" w:hAnsi="Helvetica Neue" w:cs="Helvetica Neue"/>
                <w:color w:val="000000"/>
                <w:sz w:val="17"/>
              </w:rPr>
              <w:t xml:space="preserve">More consistent increases in studies </w:t>
            </w:r>
            <w:hyperlink w:anchor="fn4">
              <w:r>
                <w:rPr>
                  <w:rFonts w:ascii="Helvetica Neue" w:eastAsia="Helvetica Neue" w:hAnsi="Helvetica Neue" w:cs="Helvetica Neue"/>
                  <w:sz w:val="17"/>
                  <w:u w:val="single"/>
                  <w:vertAlign w:val="superscript"/>
                </w:rPr>
                <w:t>[4]</w:t>
              </w:r>
            </w:hyperlink>
            <w:hyperlink w:anchor="fn6">
              <w:r>
                <w:rPr>
                  <w:rFonts w:ascii="Helvetica Neue" w:eastAsia="Helvetica Neue" w:hAnsi="Helvetica Neue" w:cs="Helvetica Neue"/>
                  <w:sz w:val="17"/>
                  <w:u w:val="single"/>
                  <w:vertAlign w:val="superscript"/>
                </w:rPr>
                <w:t>[6]</w:t>
              </w:r>
            </w:hyperlink>
          </w:p>
        </w:tc>
        <w:tc>
          <w:tcPr>
            <w:tcW w:w="0" w:type="auto"/>
            <w:tcBorders>
              <w:top w:val="single" w:sz="1" w:space="0" w:color="000000"/>
              <w:bottom w:val="single" w:sz="1" w:space="0" w:color="000000"/>
            </w:tcBorders>
          </w:tcPr>
          <w:p w14:paraId="7EE2F993" w14:textId="77777777" w:rsidR="00812618" w:rsidRDefault="00000000">
            <w:pPr>
              <w:spacing w:line="360" w:lineRule="auto"/>
            </w:pPr>
            <w:r>
              <w:rPr>
                <w:rFonts w:ascii="Helvetica Neue" w:eastAsia="Helvetica Neue" w:hAnsi="Helvetica Neue" w:cs="Helvetica Neue"/>
                <w:color w:val="000000"/>
                <w:sz w:val="17"/>
              </w:rPr>
              <w:t xml:space="preserve">More variable and model-dependent </w:t>
            </w:r>
            <w:hyperlink w:anchor="fn2">
              <w:r>
                <w:rPr>
                  <w:rFonts w:ascii="Helvetica Neue" w:eastAsia="Helvetica Neue" w:hAnsi="Helvetica Neue" w:cs="Helvetica Neue"/>
                  <w:sz w:val="17"/>
                  <w:u w:val="single"/>
                  <w:vertAlign w:val="superscript"/>
                </w:rPr>
                <w:t>[2]</w:t>
              </w:r>
            </w:hyperlink>
            <w:hyperlink w:anchor="fn5">
              <w:r>
                <w:rPr>
                  <w:rFonts w:ascii="Helvetica Neue" w:eastAsia="Helvetica Neue" w:hAnsi="Helvetica Neue" w:cs="Helvetica Neue"/>
                  <w:sz w:val="17"/>
                  <w:u w:val="single"/>
                  <w:vertAlign w:val="superscript"/>
                </w:rPr>
                <w:t>[5]</w:t>
              </w:r>
            </w:hyperlink>
          </w:p>
        </w:tc>
      </w:tr>
      <w:tr w:rsidR="00812618" w14:paraId="76A258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E69893" w14:textId="77777777" w:rsidR="00812618" w:rsidRDefault="00000000">
            <w:pPr>
              <w:spacing w:line="360" w:lineRule="auto"/>
            </w:pPr>
            <w:r>
              <w:rPr>
                <w:rFonts w:ascii="Helvetica Neue" w:eastAsia="Helvetica Neue" w:hAnsi="Helvetica Neue" w:cs="Helvetica Neue"/>
                <w:color w:val="000000"/>
                <w:sz w:val="17"/>
              </w:rPr>
              <w:t>Clinical data</w:t>
            </w:r>
          </w:p>
        </w:tc>
        <w:tc>
          <w:tcPr>
            <w:tcW w:w="0" w:type="auto"/>
            <w:tcBorders>
              <w:top w:val="single" w:sz="1" w:space="0" w:color="000000"/>
              <w:bottom w:val="single" w:sz="1" w:space="0" w:color="000000"/>
              <w:right w:val="single" w:sz="1" w:space="0" w:color="000000"/>
            </w:tcBorders>
          </w:tcPr>
          <w:p w14:paraId="037809E3" w14:textId="77777777" w:rsidR="00812618" w:rsidRDefault="00000000">
            <w:pPr>
              <w:spacing w:line="360" w:lineRule="auto"/>
            </w:pPr>
            <w:r>
              <w:rPr>
                <w:rFonts w:ascii="Helvetica Neue" w:eastAsia="Helvetica Neue" w:hAnsi="Helvetica Neue" w:cs="Helvetica Neue"/>
                <w:color w:val="000000"/>
                <w:sz w:val="17"/>
              </w:rPr>
              <w:t xml:space="preserve">Stronger translational and clinical evidence </w:t>
            </w:r>
            <w:hyperlink w:anchor="fn7">
              <w:r>
                <w:rPr>
                  <w:rFonts w:ascii="Helvetica Neue" w:eastAsia="Helvetica Neue" w:hAnsi="Helvetica Neue" w:cs="Helvetica Neue"/>
                  <w:sz w:val="17"/>
                  <w:u w:val="single"/>
                  <w:vertAlign w:val="superscript"/>
                </w:rPr>
                <w:t>[7]</w:t>
              </w:r>
            </w:hyperlink>
            <w:hyperlink w:anchor="fn3">
              <w:r>
                <w:rPr>
                  <w:rFonts w:ascii="Helvetica Neue" w:eastAsia="Helvetica Neue" w:hAnsi="Helvetica Neue" w:cs="Helvetica Neue"/>
                  <w:sz w:val="17"/>
                  <w:u w:val="single"/>
                  <w:vertAlign w:val="superscript"/>
                </w:rPr>
                <w:t>[3]</w:t>
              </w:r>
            </w:hyperlink>
          </w:p>
        </w:tc>
        <w:tc>
          <w:tcPr>
            <w:tcW w:w="0" w:type="auto"/>
            <w:tcBorders>
              <w:top w:val="single" w:sz="1" w:space="0" w:color="000000"/>
              <w:bottom w:val="single" w:sz="1" w:space="0" w:color="000000"/>
            </w:tcBorders>
          </w:tcPr>
          <w:p w14:paraId="2F1FEBB5" w14:textId="77777777" w:rsidR="00812618" w:rsidRDefault="00000000">
            <w:pPr>
              <w:spacing w:line="360" w:lineRule="auto"/>
            </w:pPr>
            <w:r>
              <w:rPr>
                <w:rFonts w:ascii="Helvetica Neue" w:eastAsia="Helvetica Neue" w:hAnsi="Helvetica Neue" w:cs="Helvetica Neue"/>
                <w:color w:val="000000"/>
                <w:sz w:val="17"/>
              </w:rPr>
              <w:t xml:space="preserve">Limited human data </w:t>
            </w:r>
            <w:hyperlink w:anchor="fn2">
              <w:r>
                <w:rPr>
                  <w:rFonts w:ascii="Helvetica Neue" w:eastAsia="Helvetica Neue" w:hAnsi="Helvetica Neue" w:cs="Helvetica Neue"/>
                  <w:sz w:val="17"/>
                  <w:u w:val="single"/>
                  <w:vertAlign w:val="superscript"/>
                </w:rPr>
                <w:t>[2]</w:t>
              </w:r>
            </w:hyperlink>
            <w:hyperlink w:anchor="fn5">
              <w:r>
                <w:rPr>
                  <w:rFonts w:ascii="Helvetica Neue" w:eastAsia="Helvetica Neue" w:hAnsi="Helvetica Neue" w:cs="Helvetica Neue"/>
                  <w:sz w:val="17"/>
                  <w:u w:val="single"/>
                  <w:vertAlign w:val="superscript"/>
                </w:rPr>
                <w:t>[5]</w:t>
              </w:r>
            </w:hyperlink>
          </w:p>
        </w:tc>
      </w:tr>
      <w:tr w:rsidR="00812618" w14:paraId="7AEE69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3BF03E" w14:textId="77777777" w:rsidR="00812618" w:rsidRDefault="00000000">
            <w:pPr>
              <w:spacing w:line="360" w:lineRule="auto"/>
            </w:pPr>
            <w:r>
              <w:rPr>
                <w:rFonts w:ascii="Helvetica Neue" w:eastAsia="Helvetica Neue" w:hAnsi="Helvetica Neue" w:cs="Helvetica Neue"/>
                <w:color w:val="000000"/>
                <w:sz w:val="17"/>
              </w:rPr>
              <w:t>Best research use</w:t>
            </w:r>
          </w:p>
        </w:tc>
        <w:tc>
          <w:tcPr>
            <w:tcW w:w="0" w:type="auto"/>
            <w:tcBorders>
              <w:top w:val="single" w:sz="1" w:space="0" w:color="000000"/>
              <w:bottom w:val="single" w:sz="1" w:space="0" w:color="000000"/>
              <w:right w:val="single" w:sz="1" w:space="0" w:color="000000"/>
            </w:tcBorders>
          </w:tcPr>
          <w:p w14:paraId="0F7C65C0" w14:textId="77777777" w:rsidR="00812618" w:rsidRDefault="00000000">
            <w:pPr>
              <w:spacing w:line="360" w:lineRule="auto"/>
            </w:pPr>
            <w:r>
              <w:rPr>
                <w:rFonts w:ascii="Helvetica Neue" w:eastAsia="Helvetica Neue" w:hAnsi="Helvetica Neue" w:cs="Helvetica Neue"/>
                <w:color w:val="000000"/>
                <w:sz w:val="17"/>
              </w:rPr>
              <w:t xml:space="preserve">GH/IGF-1 axis and metabolic studies </w:t>
            </w:r>
            <w:hyperlink w:anchor="fn7">
              <w:r>
                <w:rPr>
                  <w:rFonts w:ascii="Helvetica Neue" w:eastAsia="Helvetica Neue" w:hAnsi="Helvetica Neue" w:cs="Helvetica Neue"/>
                  <w:sz w:val="17"/>
                  <w:u w:val="single"/>
                  <w:vertAlign w:val="superscript"/>
                </w:rPr>
                <w:t>[7]</w:t>
              </w:r>
            </w:hyperlink>
            <w:hyperlink w:anchor="fn8">
              <w:r>
                <w:rPr>
                  <w:rFonts w:ascii="Helvetica Neue" w:eastAsia="Helvetica Neue" w:hAnsi="Helvetica Neue" w:cs="Helvetica Neue"/>
                  <w:sz w:val="17"/>
                  <w:u w:val="single"/>
                  <w:vertAlign w:val="superscript"/>
                </w:rPr>
                <w:t>[8]</w:t>
              </w:r>
            </w:hyperlink>
          </w:p>
        </w:tc>
        <w:tc>
          <w:tcPr>
            <w:tcW w:w="0" w:type="auto"/>
            <w:tcBorders>
              <w:top w:val="single" w:sz="1" w:space="0" w:color="000000"/>
              <w:bottom w:val="single" w:sz="1" w:space="0" w:color="000000"/>
            </w:tcBorders>
          </w:tcPr>
          <w:p w14:paraId="32582774" w14:textId="77777777" w:rsidR="00812618" w:rsidRDefault="00000000">
            <w:pPr>
              <w:spacing w:line="360" w:lineRule="auto"/>
            </w:pPr>
            <w:r>
              <w:rPr>
                <w:rFonts w:ascii="Helvetica Neue" w:eastAsia="Helvetica Neue" w:hAnsi="Helvetica Neue" w:cs="Helvetica Neue"/>
                <w:color w:val="000000"/>
                <w:sz w:val="17"/>
              </w:rPr>
              <w:t xml:space="preserve">GH pulsatility and receptor selectivity studies </w:t>
            </w:r>
            <w:hyperlink w:anchor="fn2">
              <w:r>
                <w:rPr>
                  <w:rFonts w:ascii="Helvetica Neue" w:eastAsia="Helvetica Neue" w:hAnsi="Helvetica Neue" w:cs="Helvetica Neue"/>
                  <w:sz w:val="17"/>
                  <w:u w:val="single"/>
                  <w:vertAlign w:val="superscript"/>
                </w:rPr>
                <w:t>[2]</w:t>
              </w:r>
            </w:hyperlink>
            <w:hyperlink w:anchor="fn5">
              <w:r>
                <w:rPr>
                  <w:rFonts w:ascii="Helvetica Neue" w:eastAsia="Helvetica Neue" w:hAnsi="Helvetica Neue" w:cs="Helvetica Neue"/>
                  <w:sz w:val="17"/>
                  <w:u w:val="single"/>
                  <w:vertAlign w:val="superscript"/>
                </w:rPr>
                <w:t>[5]</w:t>
              </w:r>
            </w:hyperlink>
          </w:p>
        </w:tc>
      </w:tr>
    </w:tbl>
    <w:p w14:paraId="27533876" w14:textId="77777777" w:rsidR="00812618" w:rsidRDefault="00812618"/>
    <w:p w14:paraId="3EA9C73B" w14:textId="77777777" w:rsidR="00812618" w:rsidRDefault="00000000">
      <w:pPr>
        <w:spacing w:before="315" w:after="105" w:line="360" w:lineRule="auto"/>
        <w:ind w:left="-30"/>
      </w:pPr>
      <w:bookmarkStart w:id="29" w:name="best_closing"/>
      <w:r>
        <w:rPr>
          <w:rFonts w:eastAsia="Georgia" w:hAnsi="Georgia" w:cs="Georgia"/>
          <w:b/>
          <w:color w:val="000000"/>
          <w:sz w:val="24"/>
        </w:rPr>
        <w:t>Best closing</w:t>
      </w:r>
      <w:bookmarkEnd w:id="29"/>
    </w:p>
    <w:p w14:paraId="124CFD66" w14:textId="77777777" w:rsidR="00812618" w:rsidRDefault="00000000">
      <w:pPr>
        <w:spacing w:after="210" w:line="360" w:lineRule="auto"/>
      </w:pPr>
      <w:r>
        <w:rPr>
          <w:rFonts w:eastAsia="Georgia" w:hAnsi="Georgia" w:cs="Georgia"/>
          <w:color w:val="000000"/>
        </w:rPr>
        <w:t>A more polished final paragraph would be:</w:t>
      </w:r>
    </w:p>
    <w:p w14:paraId="2EA1F92A" w14:textId="77777777" w:rsidR="00812618" w:rsidRDefault="00000000">
      <w:pPr>
        <w:spacing w:after="210" w:line="360" w:lineRule="auto"/>
      </w:pPr>
      <w:r>
        <w:rPr>
          <w:rFonts w:eastAsia="Georgia" w:hAnsi="Georgia" w:cs="Georgia"/>
          <w:color w:val="000000"/>
        </w:rPr>
        <w:t>“Tesamorelin is generally the stronger choice for research requiring sustained GH and IGF-1 pathway stimulation, especially in metabolic or translational studies. Ipamorelin is better suited for experiments focused on pulsatile GH release and receptor-specific signaling. Because the two peptides serve different research purposes, the best choice depends on the experimental design rather than on a simple measure of strength.”</w:t>
      </w:r>
    </w:p>
    <w:p w14:paraId="16E08233" w14:textId="77777777" w:rsidR="00812618" w:rsidRDefault="00000000">
      <w:pPr>
        <w:spacing w:after="210" w:line="360" w:lineRule="auto"/>
      </w:pPr>
      <w:r>
        <w:rPr>
          <w:rFonts w:eastAsia="Georgia" w:hAnsi="Georgia" w:cs="Georgia"/>
          <w:color w:val="000000"/>
        </w:rPr>
        <w:t>Would you like me to turn this into a full SEO blog post with meta title, meta description, FAQ, and a clean intro?</w:t>
      </w:r>
      <w:r>
        <w:rPr>
          <w:rFonts w:eastAsia="Georgia" w:hAnsi="Georgia" w:cs="Georgia"/>
          <w:color w:val="000000"/>
        </w:rPr>
        <w:br/>
      </w:r>
    </w:p>
    <w:p w14:paraId="3DEF8C02" w14:textId="77777777" w:rsidR="00812618" w:rsidRDefault="00000000">
      <w:pPr>
        <w:spacing w:line="360" w:lineRule="auto"/>
      </w:pPr>
      <w:r>
        <w:rPr>
          <w:rFonts w:eastAsia="Georgia" w:hAnsi="Georgia" w:cs="Georgia"/>
          <w:color w:val="000000"/>
        </w:rPr>
        <w:t>⁂</w:t>
      </w:r>
    </w:p>
    <w:p w14:paraId="29DB0C62" w14:textId="77777777" w:rsidR="00812618" w:rsidRDefault="00201228">
      <w:pPr>
        <w:spacing w:before="210" w:after="0" w:line="360" w:lineRule="auto"/>
      </w:pPr>
      <w:r>
        <w:rPr>
          <w:noProof/>
        </w:rPr>
      </w:r>
      <w:r>
        <w:rPr>
          <w:noProof/>
        </w:rPr>
        <w:pict w14:anchorId="1C22A94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30" w:name="fn1"/>
    <w:bookmarkEnd w:id="30"/>
    <w:p w14:paraId="5376D568" w14:textId="77777777" w:rsidR="00812618" w:rsidRDefault="00000000">
      <w:pPr>
        <w:numPr>
          <w:ilvl w:val="0"/>
          <w:numId w:val="3"/>
        </w:numPr>
        <w:spacing w:after="210" w:line="360" w:lineRule="auto"/>
      </w:pPr>
      <w:r>
        <w:fldChar w:fldCharType="begin"/>
      </w:r>
      <w:r>
        <w:instrText>HYPERLINK "https://academic.oup.com/jcem/article/96/1/150/2833440" \h</w:instrText>
      </w:r>
      <w:r>
        <w:fldChar w:fldCharType="separate"/>
      </w:r>
      <w:r>
        <w:rPr>
          <w:rFonts w:ascii="Helvetica Neue" w:eastAsia="Helvetica Neue" w:hAnsi="Helvetica Neue" w:cs="Helvetica Neue"/>
          <w:sz w:val="18"/>
          <w:u w:val="single"/>
        </w:rPr>
        <w:t>https://academic.oup.com/jcem/article/96/1/150/2833440</w:t>
      </w:r>
      <w:r>
        <w:fldChar w:fldCharType="end"/>
      </w:r>
      <w:r>
        <w:rPr>
          <w:rFonts w:eastAsia="Georgia" w:hAnsi="Georgia" w:cs="Georgia"/>
          <w:color w:val="000000"/>
          <w:sz w:val="18"/>
        </w:rPr>
        <w:t xml:space="preserve">       </w:t>
      </w:r>
    </w:p>
    <w:bookmarkStart w:id="31" w:name="fn2"/>
    <w:bookmarkEnd w:id="31"/>
    <w:p w14:paraId="10E5CD67" w14:textId="77777777" w:rsidR="00812618" w:rsidRDefault="00000000">
      <w:pPr>
        <w:numPr>
          <w:ilvl w:val="0"/>
          <w:numId w:val="3"/>
        </w:numPr>
        <w:spacing w:after="210" w:line="360" w:lineRule="auto"/>
      </w:pPr>
      <w:r>
        <w:fldChar w:fldCharType="begin"/>
      </w:r>
      <w:r>
        <w:instrText>HYPERLINK "https://pubmed.ncbi.nlm.nih.gov/9849822/" \h</w:instrText>
      </w:r>
      <w:r>
        <w:fldChar w:fldCharType="separate"/>
      </w:r>
      <w:r>
        <w:rPr>
          <w:rFonts w:ascii="Helvetica Neue" w:eastAsia="Helvetica Neue" w:hAnsi="Helvetica Neue" w:cs="Helvetica Neue"/>
          <w:sz w:val="18"/>
          <w:u w:val="single"/>
        </w:rPr>
        <w:t>https://pubmed.ncbi.nlm.nih.gov/9849822/</w:t>
      </w:r>
      <w:r>
        <w:fldChar w:fldCharType="end"/>
      </w:r>
      <w:r>
        <w:rPr>
          <w:rFonts w:eastAsia="Georgia" w:hAnsi="Georgia" w:cs="Georgia"/>
          <w:color w:val="000000"/>
          <w:sz w:val="18"/>
        </w:rPr>
        <w:t xml:space="preserve">          </w:t>
      </w:r>
    </w:p>
    <w:bookmarkStart w:id="32" w:name="fn3"/>
    <w:bookmarkEnd w:id="32"/>
    <w:p w14:paraId="5B059AFE" w14:textId="77777777" w:rsidR="00812618" w:rsidRDefault="00000000">
      <w:pPr>
        <w:numPr>
          <w:ilvl w:val="0"/>
          <w:numId w:val="3"/>
        </w:numPr>
        <w:spacing w:after="210" w:line="360" w:lineRule="auto"/>
      </w:pPr>
      <w:r>
        <w:fldChar w:fldCharType="begin"/>
      </w:r>
      <w:r>
        <w:instrText>HYPERLINK "https://www.eatg.org/hiv-news/theratechnologies-receives-fda-approval-for-egrifta-wr-tesamorelin-f8-to-treat-excess-visceral-abdominal-fat-in-adults-with-hiv-and-lipodystrophy/" \h</w:instrText>
      </w:r>
      <w:r>
        <w:fldChar w:fldCharType="separate"/>
      </w:r>
      <w:r>
        <w:rPr>
          <w:rFonts w:ascii="Helvetica Neue" w:eastAsia="Helvetica Neue" w:hAnsi="Helvetica Neue" w:cs="Helvetica Neue"/>
          <w:sz w:val="18"/>
          <w:u w:val="single"/>
        </w:rPr>
        <w:t>https://www.eatg.org/hiv-news/theratechnologies-receives-fda-approval-for-egrifta-wr-tesamorelin-f8-to-treat-excess-visceral-abdominal-fat-in-adults-with-hiv-and-lipodystrophy/</w:t>
      </w:r>
      <w:r>
        <w:fldChar w:fldCharType="end"/>
      </w:r>
      <w:r>
        <w:rPr>
          <w:rFonts w:eastAsia="Georgia" w:hAnsi="Georgia" w:cs="Georgia"/>
          <w:color w:val="000000"/>
          <w:sz w:val="18"/>
        </w:rPr>
        <w:t xml:space="preserve">    </w:t>
      </w:r>
    </w:p>
    <w:bookmarkStart w:id="33" w:name="fn4"/>
    <w:bookmarkEnd w:id="33"/>
    <w:p w14:paraId="0117F36B" w14:textId="77777777" w:rsidR="00812618" w:rsidRDefault="00000000">
      <w:pPr>
        <w:numPr>
          <w:ilvl w:val="0"/>
          <w:numId w:val="3"/>
        </w:numPr>
        <w:spacing w:after="210" w:line="360" w:lineRule="auto"/>
      </w:pPr>
      <w:r>
        <w:fldChar w:fldCharType="begin"/>
      </w:r>
      <w:r>
        <w:instrText>HYPERLINK "https://journals.plos.org/plosone/article?id=10.1371%2Fjournal.pone.0179538" \h</w:instrText>
      </w:r>
      <w:r>
        <w:fldChar w:fldCharType="separate"/>
      </w:r>
      <w:r>
        <w:rPr>
          <w:rFonts w:ascii="Helvetica Neue" w:eastAsia="Helvetica Neue" w:hAnsi="Helvetica Neue" w:cs="Helvetica Neue"/>
          <w:sz w:val="18"/>
          <w:u w:val="single"/>
        </w:rPr>
        <w:t>https://journals.plos.org/plosone/article?id=10.1371%2Fjournal.pone.0179538</w:t>
      </w:r>
      <w:r>
        <w:fldChar w:fldCharType="end"/>
      </w:r>
      <w:r>
        <w:rPr>
          <w:rFonts w:eastAsia="Georgia" w:hAnsi="Georgia" w:cs="Georgia"/>
          <w:color w:val="000000"/>
          <w:sz w:val="18"/>
        </w:rPr>
        <w:t xml:space="preserve">    </w:t>
      </w:r>
    </w:p>
    <w:bookmarkStart w:id="34" w:name="fn5"/>
    <w:bookmarkEnd w:id="34"/>
    <w:p w14:paraId="0EE20DFD" w14:textId="77777777" w:rsidR="00812618" w:rsidRDefault="00000000">
      <w:pPr>
        <w:numPr>
          <w:ilvl w:val="0"/>
          <w:numId w:val="3"/>
        </w:numPr>
        <w:spacing w:after="210" w:line="360" w:lineRule="auto"/>
      </w:pPr>
      <w:r>
        <w:fldChar w:fldCharType="begin"/>
      </w:r>
      <w:r>
        <w:instrText>HYPERLINK "https://peptideslabuk.com/ipamorelin-vs-ghrp-2-for-growth-hormone-research-uk-2026-selective-ghs-r1a-agonism-versus-broad-secretagogue-receptor-pharmacology-in-pulsatile-gh-axis-biology/" \h</w:instrText>
      </w:r>
      <w:r>
        <w:fldChar w:fldCharType="separate"/>
      </w:r>
      <w:r>
        <w:rPr>
          <w:rFonts w:ascii="Helvetica Neue" w:eastAsia="Helvetica Neue" w:hAnsi="Helvetica Neue" w:cs="Helvetica Neue"/>
          <w:sz w:val="18"/>
          <w:u w:val="single"/>
        </w:rPr>
        <w:t>https://peptideslabuk.com/ipamorelin-vs-ghrp-2-for-growth-hormone-research-uk-2026-selective-ghs-r1a-agonism-versus-broad-secretagogue-receptor-pharmacology-in-pulsatile-gh-axis-biology/</w:t>
      </w:r>
      <w:r>
        <w:fldChar w:fldCharType="end"/>
      </w:r>
      <w:r>
        <w:rPr>
          <w:rFonts w:eastAsia="Georgia" w:hAnsi="Georgia" w:cs="Georgia"/>
          <w:color w:val="000000"/>
          <w:sz w:val="18"/>
        </w:rPr>
        <w:t xml:space="preserve">      </w:t>
      </w:r>
    </w:p>
    <w:bookmarkStart w:id="35" w:name="fn6"/>
    <w:bookmarkEnd w:id="35"/>
    <w:p w14:paraId="113F6CA5" w14:textId="77777777" w:rsidR="00812618" w:rsidRDefault="00000000">
      <w:pPr>
        <w:numPr>
          <w:ilvl w:val="0"/>
          <w:numId w:val="3"/>
        </w:numPr>
        <w:spacing w:after="210" w:line="360" w:lineRule="auto"/>
      </w:pPr>
      <w:r>
        <w:lastRenderedPageBreak/>
        <w:fldChar w:fldCharType="begin"/>
      </w:r>
      <w:r>
        <w:instrText>HYPERLINK "https://www.accessdata.fda.gov/drugsatfda_docs/nda/2010/022505Orig1s000ClinPharmR.pdf" \h</w:instrText>
      </w:r>
      <w:r>
        <w:fldChar w:fldCharType="separate"/>
      </w:r>
      <w:r>
        <w:rPr>
          <w:rFonts w:ascii="Helvetica Neue" w:eastAsia="Helvetica Neue" w:hAnsi="Helvetica Neue" w:cs="Helvetica Neue"/>
          <w:sz w:val="18"/>
          <w:u w:val="single"/>
        </w:rPr>
        <w:t>https://www.accessdata.fda.gov/drugsatfda_docs/nda/2010/022505Orig1s000ClinPharmR.pdf</w:t>
      </w:r>
      <w:r>
        <w:fldChar w:fldCharType="end"/>
      </w:r>
      <w:r>
        <w:rPr>
          <w:rFonts w:eastAsia="Georgia" w:hAnsi="Georgia" w:cs="Georgia"/>
          <w:color w:val="000000"/>
          <w:sz w:val="18"/>
        </w:rPr>
        <w:t xml:space="preserve">    </w:t>
      </w:r>
    </w:p>
    <w:bookmarkStart w:id="36" w:name="fn7"/>
    <w:bookmarkEnd w:id="36"/>
    <w:p w14:paraId="4937AABA" w14:textId="77777777" w:rsidR="00812618" w:rsidRDefault="00000000">
      <w:pPr>
        <w:numPr>
          <w:ilvl w:val="0"/>
          <w:numId w:val="3"/>
        </w:numPr>
        <w:spacing w:after="210" w:line="360" w:lineRule="auto"/>
      </w:pPr>
      <w:r>
        <w:fldChar w:fldCharType="begin"/>
      </w:r>
      <w:r>
        <w:instrText>HYPERLINK "https://digitalcommons.pcom.edu/pa_systematic_reviews/85/" \h</w:instrText>
      </w:r>
      <w:r>
        <w:fldChar w:fldCharType="separate"/>
      </w:r>
      <w:r>
        <w:rPr>
          <w:rFonts w:ascii="Helvetica Neue" w:eastAsia="Helvetica Neue" w:hAnsi="Helvetica Neue" w:cs="Helvetica Neue"/>
          <w:sz w:val="18"/>
          <w:u w:val="single"/>
        </w:rPr>
        <w:t>https://digitalcommons.pcom.edu/pa_systematic_reviews/85/</w:t>
      </w:r>
      <w:r>
        <w:fldChar w:fldCharType="end"/>
      </w:r>
      <w:r>
        <w:rPr>
          <w:rFonts w:eastAsia="Georgia" w:hAnsi="Georgia" w:cs="Georgia"/>
          <w:color w:val="000000"/>
          <w:sz w:val="18"/>
        </w:rPr>
        <w:t xml:space="preserve">    </w:t>
      </w:r>
    </w:p>
    <w:bookmarkStart w:id="37" w:name="fn8"/>
    <w:bookmarkEnd w:id="37"/>
    <w:p w14:paraId="779D8D47" w14:textId="77777777" w:rsidR="00812618" w:rsidRDefault="00000000">
      <w:pPr>
        <w:numPr>
          <w:ilvl w:val="0"/>
          <w:numId w:val="3"/>
        </w:numPr>
        <w:spacing w:after="210" w:line="360" w:lineRule="auto"/>
      </w:pPr>
      <w:r>
        <w:fldChar w:fldCharType="begin"/>
      </w:r>
      <w:r>
        <w:instrText>HYPERLINK "https://i-base.info/htb/14188" \h</w:instrText>
      </w:r>
      <w:r>
        <w:fldChar w:fldCharType="separate"/>
      </w:r>
      <w:r>
        <w:rPr>
          <w:rFonts w:ascii="Helvetica Neue" w:eastAsia="Helvetica Neue" w:hAnsi="Helvetica Neue" w:cs="Helvetica Neue"/>
          <w:sz w:val="18"/>
          <w:u w:val="single"/>
        </w:rPr>
        <w:t>https://i-base.info/htb/14188</w:t>
      </w:r>
      <w:r>
        <w:fldChar w:fldCharType="end"/>
      </w:r>
      <w:r>
        <w:rPr>
          <w:rFonts w:eastAsia="Georgia" w:hAnsi="Georgia" w:cs="Georgia"/>
          <w:color w:val="000000"/>
          <w:sz w:val="18"/>
        </w:rPr>
        <w:t xml:space="preserve">   </w:t>
      </w:r>
    </w:p>
    <w:bookmarkStart w:id="38" w:name="fn9"/>
    <w:bookmarkEnd w:id="38"/>
    <w:p w14:paraId="7241CDEF" w14:textId="77777777" w:rsidR="00812618" w:rsidRDefault="00000000">
      <w:pPr>
        <w:numPr>
          <w:ilvl w:val="0"/>
          <w:numId w:val="3"/>
        </w:numPr>
        <w:spacing w:after="210" w:line="360" w:lineRule="auto"/>
      </w:pPr>
      <w:r>
        <w:fldChar w:fldCharType="begin"/>
      </w:r>
      <w:r>
        <w:instrText>HYPERLINK "https://www.natap.org/2010/HIV/052810_03.htm" \h</w:instrText>
      </w:r>
      <w:r>
        <w:fldChar w:fldCharType="separate"/>
      </w:r>
      <w:r>
        <w:rPr>
          <w:rFonts w:ascii="Helvetica Neue" w:eastAsia="Helvetica Neue" w:hAnsi="Helvetica Neue" w:cs="Helvetica Neue"/>
          <w:sz w:val="18"/>
          <w:u w:val="single"/>
        </w:rPr>
        <w:t>https://www.natap.org/2010/HIV/052810_03.htm</w:t>
      </w:r>
      <w:r>
        <w:fldChar w:fldCharType="end"/>
      </w:r>
      <w:r>
        <w:rPr>
          <w:rFonts w:eastAsia="Georgia" w:hAnsi="Georgia" w:cs="Georgia"/>
          <w:color w:val="000000"/>
          <w:sz w:val="18"/>
        </w:rPr>
        <w:t xml:space="preserve"> </w:t>
      </w:r>
    </w:p>
    <w:bookmarkStart w:id="39" w:name="fn10"/>
    <w:bookmarkEnd w:id="39"/>
    <w:p w14:paraId="61862E74" w14:textId="77777777" w:rsidR="00812618" w:rsidRDefault="00000000">
      <w:pPr>
        <w:numPr>
          <w:ilvl w:val="0"/>
          <w:numId w:val="3"/>
        </w:numPr>
        <w:spacing w:after="210" w:line="360" w:lineRule="auto"/>
      </w:pPr>
      <w:r>
        <w:fldChar w:fldCharType="begin"/>
      </w:r>
      <w:r>
        <w:instrText>HYPERLINK "https://www.wada-ama.org/en/resources/scientific-research/tesamorelin-administration-study-urinary-detection-window-and" \h</w:instrText>
      </w:r>
      <w:r>
        <w:fldChar w:fldCharType="separate"/>
      </w:r>
      <w:r>
        <w:rPr>
          <w:rFonts w:ascii="Helvetica Neue" w:eastAsia="Helvetica Neue" w:hAnsi="Helvetica Neue" w:cs="Helvetica Neue"/>
          <w:sz w:val="18"/>
          <w:u w:val="single"/>
        </w:rPr>
        <w:t>https://www.wada-ama.org/en/resources/scientific-research/tesamorelin-administration-study-urinary-detection-window-and</w:t>
      </w:r>
      <w:r>
        <w:fldChar w:fldCharType="end"/>
      </w:r>
      <w:r>
        <w:rPr>
          <w:rFonts w:eastAsia="Georgia" w:hAnsi="Georgia" w:cs="Georgia"/>
          <w:color w:val="000000"/>
          <w:sz w:val="18"/>
        </w:rPr>
        <w:t xml:space="preserve"> </w:t>
      </w:r>
    </w:p>
    <w:bookmarkStart w:id="40" w:name="fn11"/>
    <w:bookmarkEnd w:id="40"/>
    <w:p w14:paraId="73B0EFE1" w14:textId="77777777" w:rsidR="00812618" w:rsidRDefault="00000000">
      <w:pPr>
        <w:numPr>
          <w:ilvl w:val="0"/>
          <w:numId w:val="3"/>
        </w:numPr>
        <w:spacing w:after="210" w:line="360" w:lineRule="auto"/>
      </w:pPr>
      <w:r>
        <w:fldChar w:fldCharType="begin"/>
      </w:r>
      <w:r>
        <w:instrText>HYPERLINK "https://dailypioneer.com/news/tesamorelin-expanding-research-horizons-in-growth-hormone-releasing-hormone-analog-science" \h</w:instrText>
      </w:r>
      <w:r>
        <w:fldChar w:fldCharType="separate"/>
      </w:r>
      <w:r>
        <w:rPr>
          <w:rFonts w:ascii="Helvetica Neue" w:eastAsia="Helvetica Neue" w:hAnsi="Helvetica Neue" w:cs="Helvetica Neue"/>
          <w:sz w:val="18"/>
          <w:u w:val="single"/>
        </w:rPr>
        <w:t>https://dailypioneer.com/news/tesamorelin-expanding-research-horizons-in-growth-hormone-releasing-hormone-analog-science</w:t>
      </w:r>
      <w:r>
        <w:fldChar w:fldCharType="end"/>
      </w:r>
      <w:r>
        <w:rPr>
          <w:rFonts w:eastAsia="Georgia" w:hAnsi="Georgia" w:cs="Georgia"/>
          <w:color w:val="000000"/>
          <w:sz w:val="18"/>
        </w:rPr>
        <w:t xml:space="preserve"> </w:t>
      </w:r>
    </w:p>
    <w:bookmarkStart w:id="41" w:name="fn12"/>
    <w:bookmarkEnd w:id="41"/>
    <w:p w14:paraId="65EF7F79" w14:textId="77777777" w:rsidR="00812618" w:rsidRDefault="00000000">
      <w:pPr>
        <w:numPr>
          <w:ilvl w:val="0"/>
          <w:numId w:val="3"/>
        </w:numPr>
        <w:spacing w:after="210" w:line="360" w:lineRule="auto"/>
      </w:pPr>
      <w:r>
        <w:fldChar w:fldCharType="begin"/>
      </w:r>
      <w:r>
        <w:instrText>HYPERLINK "https://pmc.ncbi.nlm.nih.gov/articles/PMC4863553/" \h</w:instrText>
      </w:r>
      <w:r>
        <w:fldChar w:fldCharType="separate"/>
      </w:r>
      <w:r>
        <w:rPr>
          <w:rFonts w:ascii="Helvetica Neue" w:eastAsia="Helvetica Neue" w:hAnsi="Helvetica Neue" w:cs="Helvetica Neue"/>
          <w:sz w:val="18"/>
          <w:u w:val="single"/>
        </w:rPr>
        <w:t>https://pmc.ncbi.nlm.nih.gov/articles/PMC4863553/</w:t>
      </w:r>
      <w:r>
        <w:fldChar w:fldCharType="end"/>
      </w:r>
      <w:r>
        <w:rPr>
          <w:rFonts w:eastAsia="Georgia" w:hAnsi="Georgia" w:cs="Georgia"/>
          <w:color w:val="000000"/>
          <w:sz w:val="18"/>
        </w:rPr>
        <w:t xml:space="preserve"> </w:t>
      </w:r>
    </w:p>
    <w:bookmarkStart w:id="42" w:name="fn13"/>
    <w:bookmarkEnd w:id="42"/>
    <w:p w14:paraId="2FFA4529" w14:textId="77777777" w:rsidR="00812618" w:rsidRDefault="00000000">
      <w:pPr>
        <w:numPr>
          <w:ilvl w:val="0"/>
          <w:numId w:val="3"/>
        </w:numPr>
        <w:spacing w:after="210" w:line="360" w:lineRule="auto"/>
      </w:pPr>
      <w:r>
        <w:fldChar w:fldCharType="begin"/>
      </w:r>
      <w:r>
        <w:instrText>HYPERLINK "https://ukcab.net/wp-content/uploads/2016/07/ECAB_AOP_Thera_July62016_Medical.pdf" \h</w:instrText>
      </w:r>
      <w:r>
        <w:fldChar w:fldCharType="separate"/>
      </w:r>
      <w:r>
        <w:rPr>
          <w:rFonts w:ascii="Helvetica Neue" w:eastAsia="Helvetica Neue" w:hAnsi="Helvetica Neue" w:cs="Helvetica Neue"/>
          <w:sz w:val="18"/>
          <w:u w:val="single"/>
        </w:rPr>
        <w:t>https://ukcab.net/wp-content/uploads/2016/07/ECAB_AOP_Thera_July62016_Medical.pdf</w:t>
      </w:r>
      <w:r>
        <w:fldChar w:fldCharType="end"/>
      </w:r>
      <w:r>
        <w:rPr>
          <w:rFonts w:eastAsia="Georgia" w:hAnsi="Georgia" w:cs="Georgia"/>
          <w:color w:val="000000"/>
          <w:sz w:val="18"/>
        </w:rPr>
        <w:t xml:space="preserve"> </w:t>
      </w:r>
    </w:p>
    <w:bookmarkStart w:id="43" w:name="fn14"/>
    <w:bookmarkEnd w:id="43"/>
    <w:p w14:paraId="2F3C0791" w14:textId="77777777" w:rsidR="00812618" w:rsidRDefault="00000000">
      <w:pPr>
        <w:numPr>
          <w:ilvl w:val="0"/>
          <w:numId w:val="3"/>
        </w:numPr>
        <w:spacing w:after="210" w:line="360" w:lineRule="auto"/>
      </w:pPr>
      <w:r>
        <w:fldChar w:fldCharType="begin"/>
      </w:r>
      <w:r>
        <w:instrText>HYPERLINK "https://tydes.is/cjc-1295-ipamorelin-peptide-research/" \h</w:instrText>
      </w:r>
      <w:r>
        <w:fldChar w:fldCharType="separate"/>
      </w:r>
      <w:r>
        <w:rPr>
          <w:rFonts w:ascii="Helvetica Neue" w:eastAsia="Helvetica Neue" w:hAnsi="Helvetica Neue" w:cs="Helvetica Neue"/>
          <w:sz w:val="18"/>
          <w:u w:val="single"/>
        </w:rPr>
        <w:t>https://tydes.is/cjc-1295-ipamorelin-peptide-research/</w:t>
      </w:r>
      <w:r>
        <w:fldChar w:fldCharType="end"/>
      </w:r>
      <w:r>
        <w:rPr>
          <w:rFonts w:eastAsia="Georgia" w:hAnsi="Georgia" w:cs="Georgia"/>
          <w:color w:val="000000"/>
          <w:sz w:val="18"/>
        </w:rPr>
        <w:t xml:space="preserve"> </w:t>
      </w:r>
    </w:p>
    <w:bookmarkStart w:id="44" w:name="fn15"/>
    <w:bookmarkEnd w:id="44"/>
    <w:p w14:paraId="2CFB1F11" w14:textId="77777777" w:rsidR="00812618" w:rsidRDefault="00000000">
      <w:pPr>
        <w:numPr>
          <w:ilvl w:val="0"/>
          <w:numId w:val="3"/>
        </w:numPr>
        <w:spacing w:after="210" w:line="360" w:lineRule="auto"/>
      </w:pPr>
      <w:r>
        <w:fldChar w:fldCharType="begin"/>
      </w:r>
      <w:r>
        <w:instrText>HYPERLINK "https://pmc.ncbi.nlm.nih.gov/articles/PMC6766405/" \h</w:instrText>
      </w:r>
      <w:r>
        <w:fldChar w:fldCharType="separate"/>
      </w:r>
      <w:r>
        <w:rPr>
          <w:rFonts w:ascii="Helvetica Neue" w:eastAsia="Helvetica Neue" w:hAnsi="Helvetica Neue" w:cs="Helvetica Neue"/>
          <w:sz w:val="18"/>
          <w:u w:val="single"/>
        </w:rPr>
        <w:t>https://pmc.ncbi.nlm.nih.gov/articles/PMC6766405/</w:t>
      </w:r>
      <w:r>
        <w:fldChar w:fldCharType="end"/>
      </w:r>
      <w:r>
        <w:rPr>
          <w:rFonts w:eastAsia="Georgia" w:hAnsi="Georgia" w:cs="Georgia"/>
          <w:color w:val="000000"/>
          <w:sz w:val="18"/>
        </w:rPr>
        <w:t xml:space="preserve"> </w:t>
      </w:r>
    </w:p>
    <w:sectPr w:rsidR="00812618">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085C"/>
    <w:multiLevelType w:val="hybridMultilevel"/>
    <w:tmpl w:val="D2466F2A"/>
    <w:lvl w:ilvl="0" w:tplc="13E0EE4E">
      <w:start w:val="1"/>
      <w:numFmt w:val="decimal"/>
      <w:lvlText w:val="%1."/>
      <w:lvlJc w:val="left"/>
      <w:pPr>
        <w:tabs>
          <w:tab w:val="num" w:pos="900"/>
        </w:tabs>
        <w:ind w:left="540" w:hanging="360"/>
      </w:pPr>
    </w:lvl>
    <w:lvl w:ilvl="1" w:tplc="DF9E48B4">
      <w:numFmt w:val="decimal"/>
      <w:lvlText w:val=""/>
      <w:lvlJc w:val="left"/>
    </w:lvl>
    <w:lvl w:ilvl="2" w:tplc="9814B256">
      <w:numFmt w:val="decimal"/>
      <w:lvlText w:val=""/>
      <w:lvlJc w:val="left"/>
    </w:lvl>
    <w:lvl w:ilvl="3" w:tplc="23DAE37C">
      <w:numFmt w:val="decimal"/>
      <w:lvlText w:val=""/>
      <w:lvlJc w:val="left"/>
    </w:lvl>
    <w:lvl w:ilvl="4" w:tplc="B17A3ED6">
      <w:numFmt w:val="decimal"/>
      <w:lvlText w:val=""/>
      <w:lvlJc w:val="left"/>
    </w:lvl>
    <w:lvl w:ilvl="5" w:tplc="20F82F4E">
      <w:numFmt w:val="decimal"/>
      <w:lvlText w:val=""/>
      <w:lvlJc w:val="left"/>
    </w:lvl>
    <w:lvl w:ilvl="6" w:tplc="268ADFFC">
      <w:numFmt w:val="decimal"/>
      <w:lvlText w:val=""/>
      <w:lvlJc w:val="left"/>
    </w:lvl>
    <w:lvl w:ilvl="7" w:tplc="85CAFA72">
      <w:numFmt w:val="decimal"/>
      <w:lvlText w:val=""/>
      <w:lvlJc w:val="left"/>
    </w:lvl>
    <w:lvl w:ilvl="8" w:tplc="96EE9FDA">
      <w:numFmt w:val="decimal"/>
      <w:lvlText w:val=""/>
      <w:lvlJc w:val="left"/>
    </w:lvl>
  </w:abstractNum>
  <w:abstractNum w:abstractNumId="1" w15:restartNumberingAfterBreak="0">
    <w:nsid w:val="34986BEB"/>
    <w:multiLevelType w:val="hybridMultilevel"/>
    <w:tmpl w:val="B0424B8E"/>
    <w:lvl w:ilvl="0" w:tplc="E33E3EE0">
      <w:start w:val="1"/>
      <w:numFmt w:val="decimal"/>
      <w:lvlText w:val="%1."/>
      <w:lvlJc w:val="left"/>
      <w:pPr>
        <w:tabs>
          <w:tab w:val="num" w:pos="900"/>
        </w:tabs>
        <w:ind w:left="540" w:hanging="360"/>
      </w:pPr>
    </w:lvl>
    <w:lvl w:ilvl="1" w:tplc="7B5CFB84">
      <w:numFmt w:val="decimal"/>
      <w:lvlText w:val=""/>
      <w:lvlJc w:val="left"/>
    </w:lvl>
    <w:lvl w:ilvl="2" w:tplc="823C9ED4">
      <w:numFmt w:val="decimal"/>
      <w:lvlText w:val=""/>
      <w:lvlJc w:val="left"/>
    </w:lvl>
    <w:lvl w:ilvl="3" w:tplc="998AADC6">
      <w:numFmt w:val="decimal"/>
      <w:lvlText w:val=""/>
      <w:lvlJc w:val="left"/>
    </w:lvl>
    <w:lvl w:ilvl="4" w:tplc="149E3CE8">
      <w:numFmt w:val="decimal"/>
      <w:lvlText w:val=""/>
      <w:lvlJc w:val="left"/>
    </w:lvl>
    <w:lvl w:ilvl="5" w:tplc="014C34E0">
      <w:numFmt w:val="decimal"/>
      <w:lvlText w:val=""/>
      <w:lvlJc w:val="left"/>
    </w:lvl>
    <w:lvl w:ilvl="6" w:tplc="ED580FC8">
      <w:numFmt w:val="decimal"/>
      <w:lvlText w:val=""/>
      <w:lvlJc w:val="left"/>
    </w:lvl>
    <w:lvl w:ilvl="7" w:tplc="D474097E">
      <w:numFmt w:val="decimal"/>
      <w:lvlText w:val=""/>
      <w:lvlJc w:val="left"/>
    </w:lvl>
    <w:lvl w:ilvl="8" w:tplc="7D362556">
      <w:numFmt w:val="decimal"/>
      <w:lvlText w:val=""/>
      <w:lvlJc w:val="left"/>
    </w:lvl>
  </w:abstractNum>
  <w:abstractNum w:abstractNumId="2" w15:restartNumberingAfterBreak="0">
    <w:nsid w:val="35AF41E6"/>
    <w:multiLevelType w:val="hybridMultilevel"/>
    <w:tmpl w:val="87625C5A"/>
    <w:lvl w:ilvl="0" w:tplc="3B7088F2">
      <w:numFmt w:val="decimal"/>
      <w:lvlText w:val=""/>
      <w:lvlJc w:val="left"/>
    </w:lvl>
    <w:lvl w:ilvl="1" w:tplc="5552B410">
      <w:numFmt w:val="decimal"/>
      <w:lvlText w:val=""/>
      <w:lvlJc w:val="left"/>
    </w:lvl>
    <w:lvl w:ilvl="2" w:tplc="750CEF5E">
      <w:numFmt w:val="decimal"/>
      <w:lvlText w:val=""/>
      <w:lvlJc w:val="left"/>
    </w:lvl>
    <w:lvl w:ilvl="3" w:tplc="AC386C50">
      <w:numFmt w:val="decimal"/>
      <w:lvlText w:val=""/>
      <w:lvlJc w:val="left"/>
    </w:lvl>
    <w:lvl w:ilvl="4" w:tplc="C166F06A">
      <w:numFmt w:val="decimal"/>
      <w:lvlText w:val=""/>
      <w:lvlJc w:val="left"/>
    </w:lvl>
    <w:lvl w:ilvl="5" w:tplc="A9B4E682">
      <w:numFmt w:val="decimal"/>
      <w:lvlText w:val=""/>
      <w:lvlJc w:val="left"/>
    </w:lvl>
    <w:lvl w:ilvl="6" w:tplc="9D320A2A">
      <w:numFmt w:val="decimal"/>
      <w:lvlText w:val=""/>
      <w:lvlJc w:val="left"/>
    </w:lvl>
    <w:lvl w:ilvl="7" w:tplc="5720E7A0">
      <w:numFmt w:val="decimal"/>
      <w:lvlText w:val=""/>
      <w:lvlJc w:val="left"/>
    </w:lvl>
    <w:lvl w:ilvl="8" w:tplc="96942C58">
      <w:numFmt w:val="decimal"/>
      <w:lvlText w:val=""/>
      <w:lvlJc w:val="left"/>
    </w:lvl>
  </w:abstractNum>
  <w:num w:numId="1" w16cid:durableId="1537808794">
    <w:abstractNumId w:val="1"/>
  </w:num>
  <w:num w:numId="2" w16cid:durableId="518931789">
    <w:abstractNumId w:val="2"/>
  </w:num>
  <w:num w:numId="3" w16cid:durableId="1282303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618"/>
    <w:rsid w:val="00201228"/>
    <w:rsid w:val="00812618"/>
    <w:rsid w:val="00C55463"/>
    <w:rsid w:val="00D808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93E3DA"/>
  <w15:docId w15:val="{E97476ED-B1D0-BC4B-AE2E-DCBE3BC0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rionpeptides.org/tesamorelin-vs-ipamorelin/" TargetMode="External"/><Relationship Id="rId18" Type="http://schemas.openxmlformats.org/officeDocument/2006/relationships/hyperlink" Target="https://orionpeptides.org/tesamorelin-vs-ipamorelin/" TargetMode="External"/><Relationship Id="rId26" Type="http://schemas.openxmlformats.org/officeDocument/2006/relationships/hyperlink" Target="https://pubmed.ncbi.nlm.nih.gov/20876877/" TargetMode="External"/><Relationship Id="rId3" Type="http://schemas.openxmlformats.org/officeDocument/2006/relationships/settings" Target="settings.xml"/><Relationship Id="rId21" Type="http://schemas.openxmlformats.org/officeDocument/2006/relationships/hyperlink" Target="https://orionpeptides.org/tesamorelin-vs-ipamorelin/" TargetMode="External"/><Relationship Id="rId34" Type="http://schemas.openxmlformats.org/officeDocument/2006/relationships/theme" Target="theme/theme1.xml"/><Relationship Id="rId7" Type="http://schemas.openxmlformats.org/officeDocument/2006/relationships/hyperlink" Target="https://orionpeptides.org/tesamorelin-vs-ipamorelin/" TargetMode="External"/><Relationship Id="rId12" Type="http://schemas.openxmlformats.org/officeDocument/2006/relationships/hyperlink" Target="https://orionpeptides.org/tesamorelin-vs-ipamorelin/" TargetMode="External"/><Relationship Id="rId17" Type="http://schemas.openxmlformats.org/officeDocument/2006/relationships/hyperlink" Target="https://orionpeptides.org/tesamorelin-vs-ipamorelin/" TargetMode="External"/><Relationship Id="rId25" Type="http://schemas.openxmlformats.org/officeDocument/2006/relationships/hyperlink" Target="https://orionpeptides.org/tesamorelin-vs-ipamoreli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rionpeptides.org/tesamorelin-vs-ipamorelin/" TargetMode="External"/><Relationship Id="rId20" Type="http://schemas.openxmlformats.org/officeDocument/2006/relationships/hyperlink" Target="https://orionpeptides.org/tesamorelin-vs-ipamorelin/" TargetMode="External"/><Relationship Id="rId29" Type="http://schemas.openxmlformats.org/officeDocument/2006/relationships/hyperlink" Target="https://pubmed.ncbi.nlm.nih.gov/12107201/" TargetMode="External"/><Relationship Id="rId1" Type="http://schemas.openxmlformats.org/officeDocument/2006/relationships/numbering" Target="numbering.xml"/><Relationship Id="rId6" Type="http://schemas.openxmlformats.org/officeDocument/2006/relationships/hyperlink" Target="https://orionpeptides.org/product/ipamorelin-5-mg/" TargetMode="External"/><Relationship Id="rId11" Type="http://schemas.openxmlformats.org/officeDocument/2006/relationships/hyperlink" Target="https://orionpeptides.org/tesamorelin-vs-ipamorelin/" TargetMode="External"/><Relationship Id="rId24" Type="http://schemas.openxmlformats.org/officeDocument/2006/relationships/hyperlink" Target="https://orionpeptides.org/tesamorelin-vs-ipamorelin/" TargetMode="External"/><Relationship Id="rId32" Type="http://schemas.openxmlformats.org/officeDocument/2006/relationships/hyperlink" Target="https://pubmed.ncbi.nlm.nih.gov/12006162/%5D(https://pubmed.ncbi.nlm.nih.gov/12006162/)" TargetMode="External"/><Relationship Id="rId5" Type="http://schemas.openxmlformats.org/officeDocument/2006/relationships/hyperlink" Target="https://orionpeptides.org/product/tesamorelin-10mg/" TargetMode="External"/><Relationship Id="rId15" Type="http://schemas.openxmlformats.org/officeDocument/2006/relationships/hyperlink" Target="https://orionpeptides.org/tesamorelin-vs-ipamorelin/" TargetMode="External"/><Relationship Id="rId23" Type="http://schemas.openxmlformats.org/officeDocument/2006/relationships/hyperlink" Target="https://orionpeptides.org/tesamorelin-vs-ipamorelin/" TargetMode="External"/><Relationship Id="rId28" Type="http://schemas.openxmlformats.org/officeDocument/2006/relationships/hyperlink" Target="https://pubmed.ncbi.nlm.nih.gov/10468583/" TargetMode="External"/><Relationship Id="rId10" Type="http://schemas.openxmlformats.org/officeDocument/2006/relationships/hyperlink" Target="https://orionpeptides.org/tesamorelin-vs-ipamorelin/" TargetMode="External"/><Relationship Id="rId19" Type="http://schemas.openxmlformats.org/officeDocument/2006/relationships/hyperlink" Target="https://orionpeptides.org/tesamorelin-vs-ipamorelin/" TargetMode="External"/><Relationship Id="rId31" Type="http://schemas.openxmlformats.org/officeDocument/2006/relationships/hyperlink" Target="https://pubmed.ncbi.nlm.nih.gov/12107201/" TargetMode="External"/><Relationship Id="rId4" Type="http://schemas.openxmlformats.org/officeDocument/2006/relationships/webSettings" Target="webSettings.xml"/><Relationship Id="rId9" Type="http://schemas.openxmlformats.org/officeDocument/2006/relationships/hyperlink" Target="https://orionpeptides.org/tesamorelin-vs-ipamorelin/" TargetMode="External"/><Relationship Id="rId14" Type="http://schemas.openxmlformats.org/officeDocument/2006/relationships/hyperlink" Target="https://orionpeptides.org/tesamorelin-vs-ipamorelin/" TargetMode="External"/><Relationship Id="rId22" Type="http://schemas.openxmlformats.org/officeDocument/2006/relationships/hyperlink" Target="https://orionpeptides.org/tesamorelin-vs-ipamorelin/" TargetMode="External"/><Relationship Id="rId27" Type="http://schemas.openxmlformats.org/officeDocument/2006/relationships/hyperlink" Target="https://pubmed.ncbi.nlm.nih.gov/24685909/" TargetMode="External"/><Relationship Id="rId30" Type="http://schemas.openxmlformats.org/officeDocument/2006/relationships/hyperlink" Target="https://pubmed.ncbi.nlm.nih.gov/12107201/" TargetMode="External"/><Relationship Id="rId8" Type="http://schemas.openxmlformats.org/officeDocument/2006/relationships/hyperlink" Target="https://orionpeptides.org/tesamorelin-vs-ipamore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3479</Words>
  <Characters>19834</Characters>
  <Application>Microsoft Office Word</Application>
  <DocSecurity>0</DocSecurity>
  <Lines>165</Lines>
  <Paragraphs>46</Paragraphs>
  <ScaleCrop>false</ScaleCrop>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2026-05-04T17:29:00Z</dcterms:created>
  <dcterms:modified xsi:type="dcterms:W3CDTF">2026-05-04T17:30:00Z</dcterms:modified>
</cp:coreProperties>
</file>